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E3B4D4">
      <w:pPr>
        <w:snapToGrid w:val="0"/>
        <w:spacing w:line="360" w:lineRule="auto"/>
        <w:ind w:right="2" w:rightChars="1"/>
        <w:jc w:val="both"/>
        <w:rPr>
          <w:rFonts w:ascii="宋体" w:hAnsi="宋体"/>
          <w:b/>
          <w:sz w:val="44"/>
          <w:szCs w:val="44"/>
        </w:rPr>
      </w:pPr>
    </w:p>
    <w:p w14:paraId="4AF67489">
      <w:pPr>
        <w:snapToGrid w:val="0"/>
        <w:spacing w:line="360" w:lineRule="auto"/>
        <w:ind w:right="2" w:rightChars="1"/>
        <w:jc w:val="both"/>
        <w:rPr>
          <w:rFonts w:ascii="宋体" w:hAnsi="宋体"/>
          <w:b/>
          <w:sz w:val="44"/>
          <w:szCs w:val="44"/>
        </w:rPr>
      </w:pPr>
    </w:p>
    <w:p w14:paraId="3BE0738E">
      <w:pPr>
        <w:snapToGrid w:val="0"/>
        <w:spacing w:line="600" w:lineRule="exact"/>
        <w:ind w:right="-447" w:firstLine="881" w:firstLineChars="200"/>
        <w:jc w:val="both"/>
        <w:rPr>
          <w:rFonts w:ascii="华文中宋" w:hAnsi="华文中宋" w:eastAsia="华文中宋" w:cs="华文中宋"/>
          <w:b/>
          <w:sz w:val="36"/>
          <w:szCs w:val="36"/>
        </w:rPr>
      </w:pPr>
      <w:r>
        <w:rPr>
          <w:rFonts w:hint="eastAsia" w:ascii="华文中宋" w:hAnsi="华文中宋" w:eastAsia="华文中宋" w:cs="华文中宋"/>
          <w:b/>
          <w:sz w:val="44"/>
          <w:szCs w:val="44"/>
        </w:rPr>
        <w:t>甘肃酒钢集团宏兴钢铁股份有限公司</w:t>
      </w:r>
    </w:p>
    <w:p w14:paraId="3643BFCA">
      <w:pPr>
        <w:snapToGrid w:val="0"/>
        <w:spacing w:line="600" w:lineRule="exact"/>
        <w:ind w:right="-447"/>
        <w:jc w:val="center"/>
        <w:rPr>
          <w:rFonts w:ascii="华文中宋" w:hAnsi="华文中宋" w:eastAsia="华文中宋" w:cs="华文中宋"/>
          <w:b/>
          <w:sz w:val="36"/>
          <w:szCs w:val="36"/>
        </w:rPr>
      </w:pPr>
    </w:p>
    <w:p w14:paraId="0C6599EE">
      <w:pPr>
        <w:snapToGrid w:val="0"/>
        <w:spacing w:line="600" w:lineRule="exact"/>
        <w:ind w:right="-447"/>
        <w:jc w:val="center"/>
        <w:rPr>
          <w:rFonts w:ascii="华文中宋" w:hAnsi="华文中宋" w:eastAsia="华文中宋" w:cs="华文中宋"/>
          <w:b/>
          <w:sz w:val="36"/>
          <w:szCs w:val="36"/>
        </w:rPr>
      </w:pPr>
    </w:p>
    <w:p w14:paraId="70AA60DA">
      <w:pPr>
        <w:adjustRightInd/>
        <w:spacing w:before="100" w:beforeAutospacing="1" w:after="100" w:afterAutospacing="1" w:line="360" w:lineRule="auto"/>
        <w:jc w:val="center"/>
        <w:textAlignment w:val="auto"/>
        <w:rPr>
          <w:rFonts w:asciiTheme="minorEastAsia" w:hAnsiTheme="minorEastAsia" w:eastAsiaTheme="minorEastAsia" w:cstheme="minorEastAsia"/>
          <w:b/>
          <w:sz w:val="44"/>
          <w:szCs w:val="44"/>
        </w:rPr>
      </w:pPr>
      <w:r>
        <w:rPr>
          <w:rFonts w:hint="eastAsia" w:asciiTheme="minorEastAsia" w:hAnsiTheme="minorEastAsia" w:eastAsiaTheme="minorEastAsia" w:cstheme="minorEastAsia"/>
          <w:b/>
          <w:sz w:val="44"/>
          <w:szCs w:val="44"/>
        </w:rPr>
        <w:t>宏博新材料公司中板电力液压制动器采购</w:t>
      </w:r>
    </w:p>
    <w:p w14:paraId="3B4A76BC">
      <w:pPr>
        <w:adjustRightInd/>
        <w:spacing w:before="100" w:beforeAutospacing="1" w:after="100" w:afterAutospacing="1" w:line="360" w:lineRule="auto"/>
        <w:jc w:val="center"/>
        <w:textAlignment w:val="auto"/>
        <w:rPr>
          <w:rFonts w:asciiTheme="minorEastAsia" w:hAnsiTheme="minorEastAsia" w:eastAsiaTheme="minorEastAsia" w:cstheme="minorEastAsia"/>
          <w:b/>
          <w:sz w:val="44"/>
          <w:szCs w:val="44"/>
        </w:rPr>
      </w:pPr>
      <w:r>
        <w:rPr>
          <w:rFonts w:hint="eastAsia" w:asciiTheme="minorEastAsia" w:hAnsiTheme="minorEastAsia" w:eastAsiaTheme="minorEastAsia" w:cstheme="minorEastAsia"/>
          <w:b/>
          <w:sz w:val="44"/>
          <w:szCs w:val="44"/>
        </w:rPr>
        <w:t>技术规格书</w:t>
      </w:r>
    </w:p>
    <w:p w14:paraId="42C8AF46">
      <w:pPr>
        <w:snapToGrid w:val="0"/>
        <w:spacing w:line="360" w:lineRule="auto"/>
        <w:ind w:right="-447"/>
        <w:jc w:val="both"/>
        <w:rPr>
          <w:rFonts w:ascii="宋体" w:hAnsi="宋体"/>
          <w:b/>
          <w:sz w:val="36"/>
          <w:szCs w:val="48"/>
        </w:rPr>
      </w:pPr>
    </w:p>
    <w:p w14:paraId="0AABD651">
      <w:pPr>
        <w:snapToGrid w:val="0"/>
        <w:spacing w:line="360" w:lineRule="auto"/>
        <w:ind w:right="-447"/>
        <w:jc w:val="both"/>
        <w:rPr>
          <w:rFonts w:ascii="宋体" w:hAnsi="宋体"/>
          <w:b/>
          <w:sz w:val="36"/>
          <w:szCs w:val="48"/>
        </w:rPr>
      </w:pPr>
    </w:p>
    <w:p w14:paraId="0C8E91AD">
      <w:pPr>
        <w:snapToGrid w:val="0"/>
        <w:spacing w:line="360" w:lineRule="auto"/>
        <w:ind w:right="-447"/>
        <w:jc w:val="both"/>
        <w:rPr>
          <w:rFonts w:ascii="宋体" w:hAnsi="宋体"/>
          <w:b/>
          <w:sz w:val="36"/>
          <w:szCs w:val="48"/>
        </w:rPr>
      </w:pPr>
    </w:p>
    <w:p w14:paraId="4B18E011">
      <w:pPr>
        <w:pStyle w:val="2"/>
        <w:rPr>
          <w:rFonts w:ascii="宋体" w:hAnsi="宋体"/>
          <w:b/>
          <w:sz w:val="36"/>
          <w:szCs w:val="48"/>
        </w:rPr>
      </w:pPr>
    </w:p>
    <w:p w14:paraId="5CCEEAE5">
      <w:pPr>
        <w:rPr>
          <w:rFonts w:ascii="宋体" w:hAnsi="宋体"/>
          <w:b/>
          <w:sz w:val="36"/>
          <w:szCs w:val="48"/>
        </w:rPr>
      </w:pPr>
    </w:p>
    <w:p w14:paraId="7E3094A7">
      <w:pPr>
        <w:pStyle w:val="2"/>
      </w:pPr>
    </w:p>
    <w:p w14:paraId="5F45D406">
      <w:pPr>
        <w:pStyle w:val="3"/>
      </w:pPr>
    </w:p>
    <w:p w14:paraId="36B5615C">
      <w:pPr>
        <w:pStyle w:val="7"/>
        <w:rPr>
          <w:rFonts w:ascii="宋体" w:hAnsi="宋体"/>
          <w:b/>
          <w:sz w:val="36"/>
          <w:szCs w:val="48"/>
        </w:rPr>
      </w:pPr>
    </w:p>
    <w:p w14:paraId="5F51E0F2">
      <w:pPr>
        <w:pStyle w:val="7"/>
        <w:rPr>
          <w:rFonts w:ascii="宋体" w:hAnsi="宋体"/>
          <w:b/>
          <w:sz w:val="36"/>
          <w:szCs w:val="48"/>
        </w:rPr>
      </w:pPr>
    </w:p>
    <w:p w14:paraId="71543CEA">
      <w:pPr>
        <w:snapToGrid w:val="0"/>
        <w:spacing w:before="100" w:beforeAutospacing="1" w:after="100" w:afterAutospacing="1" w:line="600" w:lineRule="exact"/>
        <w:ind w:right="2" w:rightChars="1"/>
        <w:jc w:val="center"/>
        <w:rPr>
          <w:rFonts w:ascii="华文中宋" w:hAnsi="华文中宋" w:eastAsia="华文中宋" w:cs="华文中宋"/>
          <w:b/>
          <w:sz w:val="32"/>
        </w:rPr>
      </w:pPr>
      <w:r>
        <w:rPr>
          <w:rFonts w:hint="eastAsia" w:ascii="华文中宋" w:hAnsi="华文中宋" w:eastAsia="华文中宋" w:cs="华文中宋"/>
          <w:b/>
          <w:sz w:val="36"/>
          <w:szCs w:val="36"/>
        </w:rPr>
        <w:t xml:space="preserve">      </w:t>
      </w:r>
      <w:r>
        <w:rPr>
          <w:rFonts w:hint="eastAsia" w:ascii="华文中宋" w:hAnsi="华文中宋" w:eastAsia="华文中宋" w:cs="华文中宋"/>
          <w:b/>
          <w:sz w:val="32"/>
        </w:rPr>
        <w:t>甲方：甘肃酒钢集团宏兴钢铁股份有限公司</w:t>
      </w:r>
    </w:p>
    <w:p w14:paraId="26619B78">
      <w:pPr>
        <w:spacing w:before="100" w:beforeAutospacing="1" w:after="100" w:afterAutospacing="1" w:line="360" w:lineRule="auto"/>
        <w:ind w:firstLine="2024" w:firstLineChars="632"/>
        <w:jc w:val="both"/>
        <w:rPr>
          <w:rFonts w:ascii="华文中宋" w:hAnsi="华文中宋" w:eastAsia="华文中宋" w:cs="华文中宋"/>
          <w:b/>
          <w:sz w:val="32"/>
        </w:rPr>
      </w:pPr>
      <w:r>
        <w:rPr>
          <w:rFonts w:hint="eastAsia" w:ascii="华文中宋" w:hAnsi="华文中宋" w:eastAsia="华文中宋" w:cs="华文中宋"/>
          <w:b/>
          <w:sz w:val="32"/>
        </w:rPr>
        <w:t>乙方：</w:t>
      </w:r>
    </w:p>
    <w:p w14:paraId="611280E6">
      <w:pPr>
        <w:pStyle w:val="7"/>
        <w:rPr>
          <w:rFonts w:ascii="华文中宋" w:hAnsi="华文中宋" w:eastAsia="华文中宋" w:cs="华文中宋"/>
          <w:b/>
          <w:sz w:val="32"/>
        </w:rPr>
      </w:pPr>
    </w:p>
    <w:p w14:paraId="34EE394B">
      <w:pPr>
        <w:pStyle w:val="7"/>
        <w:rPr>
          <w:rFonts w:ascii="华文中宋" w:hAnsi="华文中宋" w:eastAsia="华文中宋" w:cs="华文中宋"/>
          <w:b/>
          <w:sz w:val="32"/>
        </w:rPr>
      </w:pPr>
    </w:p>
    <w:p w14:paraId="14EE0C19">
      <w:pPr>
        <w:adjustRightInd/>
        <w:spacing w:line="360" w:lineRule="auto"/>
        <w:ind w:firstLine="420" w:firstLineChars="200"/>
        <w:textAlignment w:val="auto"/>
        <w:rPr>
          <w:rFonts w:ascii="宋体" w:hAnsi="宋体"/>
          <w:sz w:val="21"/>
          <w:szCs w:val="21"/>
        </w:rPr>
      </w:pPr>
      <w:r>
        <w:rPr>
          <w:rFonts w:hint="eastAsia" w:ascii="宋体" w:hAnsi="宋体"/>
          <w:sz w:val="21"/>
          <w:szCs w:val="21"/>
        </w:rPr>
        <w:t>甘肃酒钢集团宏兴钢铁股份有限公司（以下称甲方）与</w:t>
      </w:r>
      <w:r>
        <w:rPr>
          <w:rFonts w:hint="eastAsia" w:ascii="宋体" w:hAnsi="宋体"/>
          <w:sz w:val="21"/>
          <w:szCs w:val="21"/>
          <w:u w:val="single"/>
        </w:rPr>
        <w:t xml:space="preserve">                    </w:t>
      </w:r>
      <w:r>
        <w:rPr>
          <w:rFonts w:hint="eastAsia" w:ascii="宋体" w:hAnsi="宋体"/>
          <w:sz w:val="21"/>
          <w:szCs w:val="21"/>
        </w:rPr>
        <w:t>（以下称乙方）就甲方宏博新材料公司中板电力液压制动器\YWZ13-400/E80 S1K1、电力液压制动器\YWZ13-300/E30采购经双方协商，达成如下技术</w:t>
      </w:r>
      <w:r>
        <w:rPr>
          <w:rFonts w:hint="eastAsia" w:ascii="宋体" w:hAnsi="宋体"/>
          <w:sz w:val="21"/>
          <w:szCs w:val="21"/>
          <w:lang w:eastAsia="zh-CN"/>
        </w:rPr>
        <w:t>规格书</w:t>
      </w:r>
      <w:r>
        <w:rPr>
          <w:rFonts w:hint="eastAsia" w:ascii="宋体" w:hAnsi="宋体"/>
          <w:sz w:val="21"/>
          <w:szCs w:val="21"/>
        </w:rPr>
        <w:t>：</w:t>
      </w:r>
    </w:p>
    <w:p w14:paraId="0A91DE50">
      <w:pPr>
        <w:spacing w:line="360" w:lineRule="auto"/>
        <w:rPr>
          <w:rFonts w:ascii="宋体" w:hAnsi="宋体" w:cs="宋体"/>
          <w:b/>
          <w:sz w:val="21"/>
          <w:szCs w:val="21"/>
        </w:rPr>
      </w:pPr>
      <w:r>
        <w:rPr>
          <w:rFonts w:hint="eastAsia" w:ascii="宋体" w:hAnsi="宋体" w:cs="宋体"/>
          <w:b/>
          <w:sz w:val="21"/>
          <w:szCs w:val="21"/>
        </w:rPr>
        <w:t>一、总则</w:t>
      </w:r>
    </w:p>
    <w:p w14:paraId="1C5431F0">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本技术规格书作为甲方设备订货合同的附件，与订货合同同时生效，具有同等法律效力。合同执行期间双方再协商形成的补充</w:t>
      </w:r>
      <w:r>
        <w:rPr>
          <w:rFonts w:hint="eastAsia" w:ascii="宋体" w:hAnsi="宋体" w:cs="宋体"/>
          <w:sz w:val="21"/>
          <w:szCs w:val="21"/>
          <w:lang w:val="en-GB" w:eastAsia="zh-CN"/>
        </w:rPr>
        <w:t>规格书</w:t>
      </w:r>
      <w:r>
        <w:rPr>
          <w:rFonts w:hint="eastAsia" w:ascii="宋体" w:hAnsi="宋体" w:cs="宋体"/>
          <w:sz w:val="21"/>
          <w:szCs w:val="21"/>
          <w:lang w:val="en-GB"/>
        </w:rPr>
        <w:t>和追加条款也具有同等法律效力。</w:t>
      </w:r>
    </w:p>
    <w:p w14:paraId="38186EA0">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本技术规格书所提出的是最低标准的技术要求，并未对一切技术细节做出规定，也未充分引述有关标准和规范的条文，乙方应保证提供符合有关标准和技术文件的优质产品。</w:t>
      </w:r>
    </w:p>
    <w:p w14:paraId="377A05A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乙方提供的设备必须具有国内同行业近几年内的先进制造水平，采用先进工艺，合格材料，成熟的技术或专利技术。</w:t>
      </w:r>
    </w:p>
    <w:p w14:paraId="3156DFD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乙方提供的设备必须是全新、规范、先进的高质量可靠产品，能够确保连续稳定的工作。</w:t>
      </w:r>
    </w:p>
    <w:p w14:paraId="0808D824">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乙方提供货物的制造，材料的选择，都应按照国内外通用的现行标准和相应的技术规范执行，而这些标准和技术规范应为合同签字日为止最新公布发问的标准和技术规范。</w:t>
      </w:r>
    </w:p>
    <w:p w14:paraId="0C837CBC">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乙方须对本次采购设备的完整性、合理性和设计质量承担全部责任。保证所供设备满足现场在线使用工况要求。</w:t>
      </w:r>
    </w:p>
    <w:p w14:paraId="5F33563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乙方在合同货物制造中，发生侵犯专利的行为时其侵权责任与甲方无关。</w:t>
      </w:r>
    </w:p>
    <w:p w14:paraId="70BDB1E1">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rPr>
      </w:pPr>
      <w:r>
        <w:rPr>
          <w:rFonts w:hint="eastAsia" w:ascii="宋体" w:hAnsi="宋体" w:cs="宋体"/>
          <w:sz w:val="21"/>
          <w:szCs w:val="21"/>
        </w:rPr>
        <w:t>甲乙双方应当就签订本</w:t>
      </w:r>
      <w:r>
        <w:rPr>
          <w:rFonts w:hint="eastAsia" w:ascii="宋体" w:hAnsi="宋体" w:cs="宋体"/>
          <w:sz w:val="21"/>
          <w:szCs w:val="21"/>
          <w:lang w:eastAsia="zh-CN"/>
        </w:rPr>
        <w:t>规格书</w:t>
      </w:r>
      <w:r>
        <w:rPr>
          <w:rFonts w:hint="eastAsia" w:ascii="宋体" w:hAnsi="宋体" w:cs="宋体"/>
          <w:sz w:val="21"/>
          <w:szCs w:val="21"/>
        </w:rPr>
        <w:t>的相关事宜保密，不得将签订主体、时间、内容等信息透露给其他第三人。</w:t>
      </w:r>
    </w:p>
    <w:p w14:paraId="4FFB110A">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rPr>
      </w:pPr>
      <w:r>
        <w:rPr>
          <w:rFonts w:hint="eastAsia" w:ascii="宋体" w:hAnsi="宋体" w:cs="宋体"/>
          <w:sz w:val="21"/>
          <w:szCs w:val="21"/>
        </w:rPr>
        <w:t>本技术规格书为附生效条件的合同，以主合同的生效为前提条件，若参标单位不能中标，则本技术规格书自动失效，双方互不承担任何责任。</w:t>
      </w:r>
    </w:p>
    <w:p w14:paraId="412B5A40">
      <w:pPr>
        <w:spacing w:line="360" w:lineRule="auto"/>
        <w:rPr>
          <w:rFonts w:ascii="宋体" w:hAnsi="宋体" w:cs="宋体"/>
          <w:b/>
          <w:sz w:val="21"/>
          <w:szCs w:val="21"/>
        </w:rPr>
      </w:pPr>
      <w:r>
        <w:rPr>
          <w:rFonts w:hint="eastAsia" w:ascii="宋体" w:hAnsi="宋体" w:cs="宋体"/>
          <w:b/>
          <w:sz w:val="21"/>
          <w:szCs w:val="21"/>
        </w:rPr>
        <w:t>二 、供货范围</w:t>
      </w:r>
    </w:p>
    <w:tbl>
      <w:tblPr>
        <w:tblStyle w:val="9"/>
        <w:tblW w:w="100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950"/>
        <w:gridCol w:w="3296"/>
        <w:gridCol w:w="1116"/>
        <w:gridCol w:w="2544"/>
        <w:gridCol w:w="1541"/>
      </w:tblGrid>
      <w:tr w14:paraId="180CB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60" w:type="dxa"/>
            <w:vAlign w:val="center"/>
          </w:tcPr>
          <w:p w14:paraId="12536DC5">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序号</w:t>
            </w:r>
          </w:p>
        </w:tc>
        <w:tc>
          <w:tcPr>
            <w:tcW w:w="950" w:type="dxa"/>
            <w:vAlign w:val="center"/>
          </w:tcPr>
          <w:p w14:paraId="3B8E2979">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物料编码</w:t>
            </w:r>
          </w:p>
        </w:tc>
        <w:tc>
          <w:tcPr>
            <w:tcW w:w="3296" w:type="dxa"/>
            <w:vAlign w:val="center"/>
          </w:tcPr>
          <w:p w14:paraId="358EEF09">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规格型号</w:t>
            </w:r>
          </w:p>
        </w:tc>
        <w:tc>
          <w:tcPr>
            <w:tcW w:w="1116" w:type="dxa"/>
            <w:vAlign w:val="center"/>
          </w:tcPr>
          <w:p w14:paraId="2EB4F87E">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数量</w:t>
            </w:r>
          </w:p>
        </w:tc>
        <w:tc>
          <w:tcPr>
            <w:tcW w:w="2544" w:type="dxa"/>
            <w:vAlign w:val="center"/>
          </w:tcPr>
          <w:p w14:paraId="010707AD">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技术说明</w:t>
            </w:r>
          </w:p>
        </w:tc>
        <w:tc>
          <w:tcPr>
            <w:tcW w:w="1541" w:type="dxa"/>
            <w:vAlign w:val="center"/>
          </w:tcPr>
          <w:p w14:paraId="1E8BD9AB">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备注</w:t>
            </w:r>
          </w:p>
        </w:tc>
      </w:tr>
      <w:tr w14:paraId="3895C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560" w:type="dxa"/>
            <w:vAlign w:val="center"/>
          </w:tcPr>
          <w:p w14:paraId="6D041DEB">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1</w:t>
            </w:r>
          </w:p>
        </w:tc>
        <w:tc>
          <w:tcPr>
            <w:tcW w:w="950" w:type="dxa"/>
            <w:vAlign w:val="center"/>
          </w:tcPr>
          <w:p w14:paraId="068D82D0">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70427226</w:t>
            </w:r>
          </w:p>
        </w:tc>
        <w:tc>
          <w:tcPr>
            <w:tcW w:w="3296" w:type="dxa"/>
            <w:vAlign w:val="center"/>
          </w:tcPr>
          <w:p w14:paraId="4766AA2A">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bCs/>
                <w:sz w:val="18"/>
                <w:szCs w:val="18"/>
              </w:rPr>
              <w:t>电力液压制动器\YWZ13-400/E80 S1K1</w:t>
            </w:r>
          </w:p>
        </w:tc>
        <w:tc>
          <w:tcPr>
            <w:tcW w:w="1116" w:type="dxa"/>
            <w:vAlign w:val="center"/>
          </w:tcPr>
          <w:p w14:paraId="66B15CF3">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4台</w:t>
            </w:r>
          </w:p>
        </w:tc>
        <w:tc>
          <w:tcPr>
            <w:tcW w:w="2544" w:type="dxa"/>
            <w:vAlign w:val="center"/>
          </w:tcPr>
          <w:p w14:paraId="366D4AAD">
            <w:pPr>
              <w:tabs>
                <w:tab w:val="left" w:pos="540"/>
                <w:tab w:val="left" w:pos="720"/>
                <w:tab w:val="left" w:pos="1080"/>
              </w:tabs>
              <w:adjustRightInd/>
              <w:spacing w:line="360" w:lineRule="auto"/>
              <w:textAlignment w:val="auto"/>
              <w:rPr>
                <w:rFonts w:ascii="宋体" w:hAnsi="宋体" w:cs="宋体"/>
                <w:spacing w:val="-4"/>
                <w:kern w:val="28"/>
                <w:sz w:val="18"/>
                <w:szCs w:val="18"/>
              </w:rPr>
            </w:pPr>
            <w:r>
              <w:rPr>
                <w:rFonts w:hint="eastAsia" w:ascii="宋体" w:hAnsi="宋体" w:cs="宋体"/>
                <w:spacing w:val="-4"/>
                <w:kern w:val="28"/>
                <w:sz w:val="18"/>
                <w:szCs w:val="18"/>
              </w:rPr>
              <w:t>必须具有连续长时间使用的要求，要适用于高温、粉尘较大环境。</w:t>
            </w:r>
          </w:p>
        </w:tc>
        <w:tc>
          <w:tcPr>
            <w:tcW w:w="1541" w:type="dxa"/>
            <w:vAlign w:val="center"/>
          </w:tcPr>
          <w:p w14:paraId="7DAAB402">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带联锁保护装置</w:t>
            </w:r>
          </w:p>
        </w:tc>
      </w:tr>
      <w:tr w14:paraId="1A1B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560" w:type="dxa"/>
            <w:vAlign w:val="center"/>
          </w:tcPr>
          <w:p w14:paraId="208D44E0">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2</w:t>
            </w:r>
          </w:p>
        </w:tc>
        <w:tc>
          <w:tcPr>
            <w:tcW w:w="950" w:type="dxa"/>
            <w:vAlign w:val="center"/>
          </w:tcPr>
          <w:p w14:paraId="742A5E6B">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70154505</w:t>
            </w:r>
          </w:p>
        </w:tc>
        <w:tc>
          <w:tcPr>
            <w:tcW w:w="3296" w:type="dxa"/>
            <w:vAlign w:val="center"/>
          </w:tcPr>
          <w:p w14:paraId="5BC210E0">
            <w:pPr>
              <w:tabs>
                <w:tab w:val="left" w:pos="540"/>
                <w:tab w:val="left" w:pos="720"/>
                <w:tab w:val="left" w:pos="1080"/>
              </w:tabs>
              <w:adjustRightInd/>
              <w:spacing w:line="360" w:lineRule="auto"/>
              <w:jc w:val="center"/>
              <w:textAlignment w:val="auto"/>
              <w:rPr>
                <w:rFonts w:ascii="宋体" w:hAnsi="宋体" w:cs="宋体"/>
                <w:bCs/>
                <w:sz w:val="18"/>
                <w:szCs w:val="18"/>
              </w:rPr>
            </w:pPr>
            <w:r>
              <w:rPr>
                <w:rFonts w:hint="eastAsia" w:ascii="宋体" w:hAnsi="宋体" w:cs="宋体"/>
                <w:bCs/>
                <w:sz w:val="18"/>
                <w:szCs w:val="18"/>
              </w:rPr>
              <w:t>电力液压制动器\YWZ13-300/E30</w:t>
            </w:r>
          </w:p>
        </w:tc>
        <w:tc>
          <w:tcPr>
            <w:tcW w:w="1116" w:type="dxa"/>
            <w:vAlign w:val="center"/>
          </w:tcPr>
          <w:p w14:paraId="514433A1">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2台</w:t>
            </w:r>
          </w:p>
        </w:tc>
        <w:tc>
          <w:tcPr>
            <w:tcW w:w="2544" w:type="dxa"/>
            <w:vAlign w:val="center"/>
          </w:tcPr>
          <w:p w14:paraId="342CE794">
            <w:pPr>
              <w:tabs>
                <w:tab w:val="left" w:pos="540"/>
                <w:tab w:val="left" w:pos="720"/>
                <w:tab w:val="left" w:pos="1080"/>
              </w:tabs>
              <w:adjustRightInd/>
              <w:spacing w:line="360" w:lineRule="auto"/>
              <w:textAlignment w:val="auto"/>
              <w:rPr>
                <w:rFonts w:ascii="宋体" w:hAnsi="宋体" w:cs="宋体"/>
                <w:spacing w:val="-4"/>
                <w:kern w:val="28"/>
                <w:sz w:val="18"/>
                <w:szCs w:val="18"/>
              </w:rPr>
            </w:pPr>
            <w:r>
              <w:rPr>
                <w:rFonts w:hint="eastAsia" w:ascii="宋体" w:hAnsi="宋体" w:cs="宋体"/>
                <w:spacing w:val="-4"/>
                <w:kern w:val="28"/>
                <w:sz w:val="18"/>
                <w:szCs w:val="18"/>
              </w:rPr>
              <w:t>必须具有连续长时间使用的要求，要适用于高温、粉尘较大环境。</w:t>
            </w:r>
          </w:p>
        </w:tc>
        <w:tc>
          <w:tcPr>
            <w:tcW w:w="1541" w:type="dxa"/>
            <w:vAlign w:val="center"/>
          </w:tcPr>
          <w:p w14:paraId="189C4DBB">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带联锁保护装置</w:t>
            </w:r>
          </w:p>
        </w:tc>
      </w:tr>
    </w:tbl>
    <w:p w14:paraId="211AF888">
      <w:pPr>
        <w:spacing w:line="360" w:lineRule="auto"/>
        <w:rPr>
          <w:rFonts w:ascii="宋体" w:hAnsi="宋体" w:cs="宋体"/>
          <w:b/>
          <w:sz w:val="21"/>
          <w:szCs w:val="21"/>
        </w:rPr>
      </w:pPr>
    </w:p>
    <w:p w14:paraId="558D206B">
      <w:pPr>
        <w:spacing w:line="360" w:lineRule="auto"/>
        <w:rPr>
          <w:rFonts w:ascii="宋体" w:hAnsi="宋体" w:cs="宋体"/>
          <w:b/>
          <w:sz w:val="21"/>
          <w:szCs w:val="21"/>
        </w:rPr>
      </w:pPr>
      <w:r>
        <w:rPr>
          <w:rFonts w:hint="eastAsia" w:ascii="宋体" w:hAnsi="宋体" w:cs="宋体"/>
          <w:b/>
          <w:sz w:val="21"/>
          <w:szCs w:val="21"/>
        </w:rPr>
        <w:t>三、制造要求</w:t>
      </w:r>
    </w:p>
    <w:p w14:paraId="02F08956">
      <w:pPr>
        <w:adjustRightInd/>
        <w:spacing w:line="360" w:lineRule="auto"/>
        <w:jc w:val="both"/>
        <w:textAlignment w:val="auto"/>
        <w:rPr>
          <w:rFonts w:ascii="宋体" w:hAnsi="宋体" w:cs="宋体"/>
          <w:b/>
          <w:sz w:val="21"/>
          <w:szCs w:val="21"/>
        </w:rPr>
      </w:pPr>
      <w:r>
        <w:rPr>
          <w:rFonts w:hint="eastAsia" w:ascii="宋体" w:hAnsi="宋体" w:cs="宋体"/>
          <w:b/>
          <w:sz w:val="21"/>
          <w:szCs w:val="21"/>
        </w:rPr>
        <w:t>3.1主要技术要求</w:t>
      </w:r>
    </w:p>
    <w:p w14:paraId="5D81E2F3">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3.1.1乙方提供的制动器的尺寸及安装方式必须与现场一致。厂家如果无法确定具体尺寸及安装方式，需要到现场进行实际测量。</w:t>
      </w:r>
    </w:p>
    <w:p w14:paraId="6F6D3918">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3.1.2乙方</w:t>
      </w:r>
      <w:r>
        <w:rPr>
          <w:rFonts w:hint="eastAsia" w:ascii="宋体" w:hAnsi="宋体"/>
          <w:sz w:val="21"/>
          <w:szCs w:val="21"/>
          <w:lang w:val="en-GB"/>
        </w:rPr>
        <w:t>提供的</w:t>
      </w:r>
      <w:r>
        <w:rPr>
          <w:rFonts w:hint="eastAsia" w:ascii="宋体" w:hAnsi="宋体"/>
          <w:sz w:val="21"/>
          <w:szCs w:val="21"/>
        </w:rPr>
        <w:t>制动器的设计与结构必须与下图符合，必须保证所提供的制动器与在线使用的制动器一致，实现无缝更换。现场电力液压制动器外观如下图：</w:t>
      </w:r>
    </w:p>
    <w:p w14:paraId="245155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 xml:space="preserve">（1）电力液压制动器\YWZ13-400/E80 S1K1 </w:t>
      </w:r>
    </w:p>
    <w:p w14:paraId="03572064">
      <w:pPr>
        <w:tabs>
          <w:tab w:val="left" w:pos="1134"/>
        </w:tabs>
        <w:adjustRightInd/>
        <w:spacing w:line="360" w:lineRule="auto"/>
        <w:jc w:val="both"/>
        <w:textAlignment w:val="auto"/>
        <w:rPr>
          <w:rFonts w:ascii="宋体" w:hAnsi="宋体" w:cs="宋体"/>
          <w:bCs/>
          <w:sz w:val="21"/>
          <w:szCs w:val="21"/>
        </w:rPr>
      </w:pP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25245" cy="2047875"/>
            <wp:effectExtent l="0" t="0" r="9525" b="8255"/>
            <wp:docPr id="5" name="图片 5" descr="IMG_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5607"/>
                    <pic:cNvPicPr>
                      <a:picLocks noChangeAspect="1"/>
                    </pic:cNvPicPr>
                  </pic:nvPicPr>
                  <pic:blipFill>
                    <a:blip r:embed="rId8"/>
                    <a:stretch>
                      <a:fillRect/>
                    </a:stretch>
                  </pic:blipFill>
                  <pic:spPr>
                    <a:xfrm rot="5400000">
                      <a:off x="0" y="0"/>
                      <a:ext cx="1325245" cy="2047875"/>
                    </a:xfrm>
                    <a:prstGeom prst="rect">
                      <a:avLst/>
                    </a:prstGeom>
                  </pic:spPr>
                </pic:pic>
              </a:graphicData>
            </a:graphic>
          </wp:inline>
        </w:drawing>
      </w: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30960" cy="2003425"/>
            <wp:effectExtent l="0" t="0" r="15875" b="2540"/>
            <wp:docPr id="6" name="图片 6" descr="IMG_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5611"/>
                    <pic:cNvPicPr>
                      <a:picLocks noChangeAspect="1"/>
                    </pic:cNvPicPr>
                  </pic:nvPicPr>
                  <pic:blipFill>
                    <a:blip r:embed="rId9"/>
                    <a:stretch>
                      <a:fillRect/>
                    </a:stretch>
                  </pic:blipFill>
                  <pic:spPr>
                    <a:xfrm rot="5400000">
                      <a:off x="0" y="0"/>
                      <a:ext cx="1330960" cy="2003425"/>
                    </a:xfrm>
                    <a:prstGeom prst="rect">
                      <a:avLst/>
                    </a:prstGeom>
                  </pic:spPr>
                </pic:pic>
              </a:graphicData>
            </a:graphic>
          </wp:inline>
        </w:drawing>
      </w:r>
      <w:r>
        <w:rPr>
          <w:rFonts w:hint="eastAsia" w:ascii="宋体" w:hAnsi="宋体" w:cs="宋体"/>
          <w:bCs/>
          <w:sz w:val="21"/>
          <w:szCs w:val="21"/>
        </w:rPr>
        <w:t xml:space="preserve">                                                                                                                                          </w:t>
      </w:r>
    </w:p>
    <w:p w14:paraId="2C2E6B6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（2）电力液压制动器\YWZ13-300/E30</w:t>
      </w:r>
    </w:p>
    <w:p w14:paraId="6BCD49AC">
      <w:pPr>
        <w:tabs>
          <w:tab w:val="left" w:pos="1134"/>
        </w:tabs>
        <w:adjustRightInd/>
        <w:spacing w:line="360" w:lineRule="auto"/>
        <w:jc w:val="both"/>
        <w:textAlignment w:val="auto"/>
      </w:pP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79855" cy="2045970"/>
            <wp:effectExtent l="0" t="0" r="11430" b="10795"/>
            <wp:docPr id="1" name="图片 1" descr="IMG_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5607"/>
                    <pic:cNvPicPr>
                      <a:picLocks noChangeAspect="1"/>
                    </pic:cNvPicPr>
                  </pic:nvPicPr>
                  <pic:blipFill>
                    <a:blip r:embed="rId8"/>
                    <a:stretch>
                      <a:fillRect/>
                    </a:stretch>
                  </pic:blipFill>
                  <pic:spPr>
                    <a:xfrm rot="5400000">
                      <a:off x="0" y="0"/>
                      <a:ext cx="1379855" cy="2045970"/>
                    </a:xfrm>
                    <a:prstGeom prst="rect">
                      <a:avLst/>
                    </a:prstGeom>
                  </pic:spPr>
                </pic:pic>
              </a:graphicData>
            </a:graphic>
          </wp:inline>
        </w:drawing>
      </w: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90015" cy="2018030"/>
            <wp:effectExtent l="0" t="0" r="1270" b="635"/>
            <wp:docPr id="3" name="图片 3" descr="IMG_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5608"/>
                    <pic:cNvPicPr>
                      <a:picLocks noChangeAspect="1"/>
                    </pic:cNvPicPr>
                  </pic:nvPicPr>
                  <pic:blipFill>
                    <a:blip r:embed="rId10"/>
                    <a:stretch>
                      <a:fillRect/>
                    </a:stretch>
                  </pic:blipFill>
                  <pic:spPr>
                    <a:xfrm rot="16200000">
                      <a:off x="0" y="0"/>
                      <a:ext cx="1390015" cy="2018030"/>
                    </a:xfrm>
                    <a:prstGeom prst="rect">
                      <a:avLst/>
                    </a:prstGeom>
                  </pic:spPr>
                </pic:pic>
              </a:graphicData>
            </a:graphic>
          </wp:inline>
        </w:drawing>
      </w:r>
      <w:r>
        <w:rPr>
          <w:rFonts w:hint="eastAsia" w:ascii="宋体" w:hAnsi="宋体" w:cs="宋体"/>
          <w:bCs/>
          <w:sz w:val="21"/>
          <w:szCs w:val="21"/>
        </w:rPr>
        <w:t xml:space="preserve">   </w:t>
      </w:r>
      <w:r>
        <w:rPr>
          <w:rFonts w:hint="eastAsia"/>
        </w:rPr>
        <w:t xml:space="preserve">       </w:t>
      </w:r>
    </w:p>
    <w:p w14:paraId="70A291EA">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 xml:space="preserve">3.1.3 </w:t>
      </w:r>
      <w:r>
        <w:rPr>
          <w:rFonts w:hint="eastAsia" w:ascii="宋体" w:hAnsi="宋体"/>
          <w:sz w:val="21"/>
          <w:szCs w:val="21"/>
          <w:lang w:val="en-US" w:eastAsia="zh-CN"/>
        </w:rPr>
        <w:t>制动器</w:t>
      </w:r>
      <w:r>
        <w:rPr>
          <w:rFonts w:hint="eastAsia" w:ascii="宋体" w:hAnsi="宋体"/>
          <w:sz w:val="21"/>
          <w:szCs w:val="21"/>
        </w:rPr>
        <w:t>密封采用进口耐高温品牌，使用寿命更长，温度范围更广，减少人工维护成本。</w:t>
      </w:r>
    </w:p>
    <w:p w14:paraId="34968A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3.1.4</w:t>
      </w:r>
      <w:r>
        <w:rPr>
          <w:rFonts w:hint="eastAsia" w:ascii="宋体" w:hAnsi="宋体"/>
          <w:sz w:val="21"/>
          <w:szCs w:val="21"/>
          <w:lang w:val="en-US" w:eastAsia="zh-CN"/>
        </w:rPr>
        <w:t>制动器</w:t>
      </w:r>
      <w:r>
        <w:rPr>
          <w:rFonts w:hint="eastAsia" w:ascii="宋体" w:hAnsi="宋体"/>
          <w:sz w:val="21"/>
          <w:szCs w:val="21"/>
        </w:rPr>
        <w:t>摩擦片选用优质高耐磨摩擦材料，铜基粉末冶金，耐高温，使用寿命更长，减少更换摩擦片频率，减少人工维修。</w:t>
      </w:r>
    </w:p>
    <w:p w14:paraId="6CC619F7">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3.1.5</w:t>
      </w:r>
      <w:r>
        <w:rPr>
          <w:rFonts w:hint="eastAsia" w:ascii="宋体" w:hAnsi="宋体"/>
          <w:sz w:val="21"/>
          <w:szCs w:val="21"/>
          <w:lang w:val="en-US" w:eastAsia="zh-CN"/>
        </w:rPr>
        <w:t>制动器</w:t>
      </w:r>
      <w:r>
        <w:rPr>
          <w:rFonts w:hint="eastAsia" w:ascii="宋体" w:hAnsi="宋体"/>
          <w:sz w:val="21"/>
          <w:szCs w:val="21"/>
        </w:rPr>
        <w:t>反馈信号采用无干扰式光电式接近开关，反馈灵明，抗干扰能力强，动作信号灵明。</w:t>
      </w:r>
    </w:p>
    <w:p w14:paraId="69B5889C">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3.1.6 制动器采用全自动补偿功能。</w:t>
      </w:r>
    </w:p>
    <w:p w14:paraId="02B4F36F">
      <w:pPr>
        <w:adjustRightInd/>
        <w:spacing w:line="360" w:lineRule="auto"/>
        <w:ind w:left="422" w:hanging="422" w:hangingChars="200"/>
        <w:jc w:val="both"/>
        <w:textAlignment w:val="auto"/>
        <w:rPr>
          <w:rFonts w:ascii="宋体" w:hAnsi="宋体" w:cs="宋体"/>
          <w:b/>
          <w:sz w:val="21"/>
          <w:szCs w:val="21"/>
          <w:highlight w:val="none"/>
        </w:rPr>
      </w:pPr>
      <w:r>
        <w:rPr>
          <w:rFonts w:hint="eastAsia" w:ascii="宋体" w:hAnsi="宋体" w:cs="宋体"/>
          <w:b/>
          <w:sz w:val="21"/>
          <w:szCs w:val="21"/>
          <w:highlight w:val="none"/>
        </w:rPr>
        <w:t>3.2 电力液压制动器参数如下</w:t>
      </w:r>
    </w:p>
    <w:p w14:paraId="362233E8">
      <w:pPr>
        <w:adjustRightInd/>
        <w:spacing w:line="360" w:lineRule="auto"/>
        <w:textAlignment w:val="auto"/>
        <w:rPr>
          <w:rFonts w:hint="eastAsia" w:ascii="宋体" w:hAnsi="宋体"/>
          <w:sz w:val="21"/>
          <w:szCs w:val="21"/>
        </w:rPr>
      </w:pPr>
      <w:r>
        <w:rPr>
          <w:rFonts w:hint="eastAsia" w:ascii="宋体" w:hAnsi="宋体"/>
          <w:sz w:val="21"/>
          <w:szCs w:val="21"/>
        </w:rPr>
        <w:t xml:space="preserve">（1）制动器型号：电力液压制动器\YWZ13-400/E80 S1K1 </w:t>
      </w:r>
    </w:p>
    <w:p w14:paraId="381C49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推动器电压: 380V</w:t>
      </w:r>
    </w:p>
    <w:p w14:paraId="7133C705">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推动器功率：330W</w:t>
      </w:r>
    </w:p>
    <w:p w14:paraId="5CBE6256">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推动器电流：1.42A</w:t>
      </w:r>
    </w:p>
    <w:p w14:paraId="3E01D0F5">
      <w:pPr>
        <w:adjustRightInd/>
        <w:spacing w:line="360" w:lineRule="auto"/>
        <w:textAlignment w:val="auto"/>
        <w:rPr>
          <w:rFonts w:hint="eastAsia" w:ascii="宋体" w:hAnsi="宋体"/>
          <w:sz w:val="21"/>
          <w:szCs w:val="21"/>
        </w:rPr>
      </w:pPr>
      <w:r>
        <w:rPr>
          <w:rFonts w:hint="eastAsia" w:ascii="宋体" w:hAnsi="宋体"/>
          <w:sz w:val="21"/>
          <w:szCs w:val="21"/>
        </w:rPr>
        <w:t>（2）制动器型号：电力液压制动器\YWZ13-300/E30</w:t>
      </w:r>
    </w:p>
    <w:p w14:paraId="78E84E4E">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推动器电压: 380V</w:t>
      </w:r>
    </w:p>
    <w:p w14:paraId="52E66CB6">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推动器功率：200W</w:t>
      </w:r>
    </w:p>
    <w:p w14:paraId="0A016104">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液压缸电流：0.46A</w:t>
      </w:r>
    </w:p>
    <w:p w14:paraId="4DCE15DF">
      <w:pPr>
        <w:adjustRightInd/>
        <w:spacing w:line="360" w:lineRule="auto"/>
        <w:jc w:val="both"/>
        <w:textAlignment w:val="auto"/>
        <w:rPr>
          <w:rFonts w:ascii="宋体" w:hAnsi="宋体" w:cs="宋体"/>
          <w:b/>
          <w:sz w:val="21"/>
          <w:szCs w:val="21"/>
        </w:rPr>
      </w:pPr>
      <w:bookmarkStart w:id="0" w:name="_GoBack"/>
      <w:bookmarkEnd w:id="0"/>
      <w:r>
        <w:rPr>
          <w:rFonts w:hint="eastAsia" w:ascii="宋体" w:hAnsi="宋体" w:cs="宋体"/>
          <w:b/>
          <w:sz w:val="21"/>
          <w:szCs w:val="21"/>
        </w:rPr>
        <w:t>3.3提供资料</w:t>
      </w:r>
    </w:p>
    <w:p w14:paraId="24D9BC99">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3.3.1</w:t>
      </w:r>
      <w:r>
        <w:rPr>
          <w:rFonts w:hint="eastAsia" w:asciiTheme="minorEastAsia" w:hAnsiTheme="minorEastAsia" w:eastAsiaTheme="minorEastAsia" w:cstheme="minorEastAsia"/>
          <w:sz w:val="21"/>
          <w:szCs w:val="21"/>
          <w:lang w:val="en-GB"/>
        </w:rPr>
        <w:t>乙方在中标后30天内将正确的</w:t>
      </w:r>
      <w:r>
        <w:rPr>
          <w:rFonts w:hint="eastAsia" w:asciiTheme="minorEastAsia" w:hAnsiTheme="minorEastAsia" w:eastAsiaTheme="minorEastAsia" w:cstheme="minorEastAsia"/>
          <w:sz w:val="21"/>
          <w:szCs w:val="21"/>
        </w:rPr>
        <w:t>纸质版或</w:t>
      </w:r>
      <w:r>
        <w:rPr>
          <w:rFonts w:hint="eastAsia" w:asciiTheme="minorEastAsia" w:hAnsiTheme="minorEastAsia" w:eastAsiaTheme="minorEastAsia" w:cstheme="minorEastAsia"/>
          <w:sz w:val="21"/>
          <w:szCs w:val="21"/>
          <w:lang w:val="en-GB"/>
        </w:rPr>
        <w:t>电子版如下资料提供给甲方：外购件明细表，备件明细表，备件使用说明书，各部分总图、装配图及零件图。</w:t>
      </w:r>
    </w:p>
    <w:p w14:paraId="00DB45ED">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3.3.2</w:t>
      </w:r>
      <w:r>
        <w:rPr>
          <w:rFonts w:hint="eastAsia" w:asciiTheme="minorEastAsia" w:hAnsiTheme="minorEastAsia" w:eastAsiaTheme="minorEastAsia" w:cstheme="minorEastAsia"/>
          <w:sz w:val="21"/>
          <w:szCs w:val="21"/>
          <w:lang w:val="en-GB"/>
        </w:rPr>
        <w:t>提供出厂最终资料。</w:t>
      </w:r>
      <w:r>
        <w:rPr>
          <w:rFonts w:hint="eastAsia" w:asciiTheme="minorEastAsia" w:hAnsiTheme="minorEastAsia" w:eastAsiaTheme="minorEastAsia" w:cstheme="minorEastAsia"/>
          <w:sz w:val="21"/>
          <w:szCs w:val="21"/>
        </w:rPr>
        <w:t>包括：</w:t>
      </w:r>
      <w:r>
        <w:rPr>
          <w:rFonts w:hint="eastAsia" w:asciiTheme="minorEastAsia" w:hAnsiTheme="minorEastAsia" w:eastAsiaTheme="minorEastAsia" w:cstheme="minorEastAsia"/>
          <w:sz w:val="21"/>
          <w:szCs w:val="21"/>
          <w:lang w:val="en-GB"/>
        </w:rPr>
        <w:t>产品合格证书；产品试验报告；安装使用说明书；运行、检修手册及其有关资料；备品备件等清单；装箱清单</w:t>
      </w:r>
      <w:r>
        <w:rPr>
          <w:rFonts w:hint="eastAsia" w:asciiTheme="minorEastAsia" w:hAnsiTheme="minorEastAsia" w:eastAsiaTheme="minorEastAsia" w:cstheme="minorEastAsia"/>
          <w:sz w:val="21"/>
          <w:szCs w:val="21"/>
        </w:rPr>
        <w:t>等</w:t>
      </w:r>
      <w:r>
        <w:rPr>
          <w:rFonts w:hint="eastAsia" w:asciiTheme="minorEastAsia" w:hAnsiTheme="minorEastAsia" w:eastAsiaTheme="minorEastAsia" w:cstheme="minorEastAsia"/>
          <w:sz w:val="21"/>
          <w:szCs w:val="21"/>
          <w:lang w:val="en-GB"/>
        </w:rPr>
        <w:t>。</w:t>
      </w:r>
    </w:p>
    <w:p w14:paraId="2B19B253">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3.3.3有关制动器的随机资料交付(使用说明书、合格证、检验报告随机交付)，同时随机资料中应有联锁保护装置的型号。</w:t>
      </w:r>
    </w:p>
    <w:p w14:paraId="47755F7A">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3.3.4</w:t>
      </w:r>
      <w:r>
        <w:rPr>
          <w:rFonts w:hint="eastAsia" w:asciiTheme="minorEastAsia" w:hAnsiTheme="minorEastAsia" w:eastAsiaTheme="minorEastAsia" w:cstheme="minorEastAsia"/>
          <w:sz w:val="21"/>
          <w:szCs w:val="21"/>
          <w:lang w:val="en-GB"/>
        </w:rPr>
        <w:t>邮寄地址：</w:t>
      </w:r>
    </w:p>
    <w:p w14:paraId="21CC8606">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甲方邮寄信息：甘肃酒钢集团宏兴钢铁股份有限公司宏博新材料</w:t>
      </w:r>
      <w:r>
        <w:rPr>
          <w:rFonts w:hint="eastAsia" w:asciiTheme="minorEastAsia" w:hAnsiTheme="minorEastAsia" w:eastAsiaTheme="minorEastAsia" w:cstheme="minorEastAsia"/>
          <w:sz w:val="21"/>
          <w:szCs w:val="21"/>
        </w:rPr>
        <w:t>公司</w:t>
      </w:r>
      <w:r>
        <w:rPr>
          <w:rFonts w:hint="eastAsia" w:asciiTheme="minorEastAsia" w:hAnsiTheme="minorEastAsia" w:eastAsiaTheme="minorEastAsia" w:cstheme="minorEastAsia"/>
          <w:sz w:val="21"/>
          <w:szCs w:val="21"/>
          <w:lang w:val="en-GB"/>
        </w:rPr>
        <w:t>；</w:t>
      </w:r>
    </w:p>
    <w:p w14:paraId="6D5F6B10">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邮政编码：735100；</w:t>
      </w:r>
    </w:p>
    <w:p w14:paraId="36AA413C">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收件人：王立刚；</w:t>
      </w:r>
      <w:r>
        <w:rPr>
          <w:rFonts w:hint="eastAsia" w:asciiTheme="minorEastAsia" w:hAnsiTheme="minorEastAsia" w:eastAsiaTheme="minorEastAsia" w:cstheme="minorEastAsia"/>
          <w:sz w:val="21"/>
          <w:szCs w:val="21"/>
        </w:rPr>
        <w:t>电话：18193795677；</w:t>
      </w:r>
      <w:r>
        <w:rPr>
          <w:rFonts w:hint="eastAsia" w:asciiTheme="minorEastAsia" w:hAnsiTheme="minorEastAsia" w:eastAsiaTheme="minorEastAsia" w:cstheme="minorEastAsia"/>
          <w:sz w:val="21"/>
          <w:szCs w:val="21"/>
          <w:lang w:val="en-GB"/>
        </w:rPr>
        <w:t>电子邮箱：</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HYPERLINK "mailto:wangligang1@jiugang.com。"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wangligang1</w:t>
      </w:r>
      <w:r>
        <w:rPr>
          <w:rFonts w:hint="eastAsia" w:asciiTheme="minorEastAsia" w:hAnsiTheme="minorEastAsia" w:eastAsiaTheme="minorEastAsia" w:cstheme="minorEastAsia"/>
          <w:sz w:val="21"/>
          <w:szCs w:val="21"/>
          <w:lang w:val="en-GB"/>
        </w:rPr>
        <w:t>@jiugang.com。</w:t>
      </w:r>
      <w:r>
        <w:rPr>
          <w:rFonts w:hint="eastAsia" w:asciiTheme="minorEastAsia" w:hAnsiTheme="minorEastAsia" w:eastAsiaTheme="minorEastAsia" w:cstheme="minorEastAsia"/>
          <w:sz w:val="21"/>
          <w:szCs w:val="21"/>
          <w:lang w:val="en-GB"/>
        </w:rPr>
        <w:fldChar w:fldCharType="end"/>
      </w:r>
    </w:p>
    <w:p w14:paraId="1677B85C">
      <w:pPr>
        <w:tabs>
          <w:tab w:val="left" w:pos="540"/>
          <w:tab w:val="left" w:pos="720"/>
          <w:tab w:val="left" w:pos="1080"/>
        </w:tabs>
        <w:adjustRightInd/>
        <w:spacing w:line="360" w:lineRule="auto"/>
        <w:jc w:val="both"/>
        <w:textAlignment w:val="auto"/>
        <w:rPr>
          <w:rFonts w:ascii="宋体" w:hAnsi="宋体" w:cs="宋体"/>
          <w:b/>
          <w:sz w:val="21"/>
          <w:szCs w:val="21"/>
        </w:rPr>
      </w:pPr>
      <w:r>
        <w:rPr>
          <w:rFonts w:hint="eastAsia" w:ascii="宋体" w:hAnsi="宋体" w:cs="宋体"/>
          <w:b/>
          <w:sz w:val="21"/>
          <w:szCs w:val="21"/>
        </w:rPr>
        <w:t>3.4质量验收</w:t>
      </w:r>
    </w:p>
    <w:p w14:paraId="78DC7748">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到货后经酒钢</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HYPERLINK "https://portal.jiugang.com/jg/addresslist/javascript:void(0)" \o "宏兴股份公司"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宏兴股份公司</w:t>
      </w:r>
      <w:r>
        <w:rPr>
          <w:rFonts w:hint="eastAsia" w:asciiTheme="minorEastAsia" w:hAnsiTheme="minorEastAsia" w:eastAsiaTheme="minorEastAsia" w:cstheme="minorEastAsia"/>
          <w:sz w:val="21"/>
          <w:szCs w:val="21"/>
        </w:rPr>
        <w:fldChar w:fldCharType="end"/>
      </w:r>
      <w:r>
        <w:rPr>
          <w:rFonts w:hint="eastAsia" w:asciiTheme="minorEastAsia" w:hAnsiTheme="minorEastAsia" w:eastAsiaTheme="minorEastAsia" w:cstheme="minorEastAsia"/>
          <w:sz w:val="21"/>
          <w:szCs w:val="21"/>
        </w:rPr>
        <w:t>负责部门进行检验验收，检验合格后办理入库手续。</w:t>
      </w:r>
    </w:p>
    <w:p w14:paraId="1984482A">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四、质保期要求</w:t>
      </w:r>
    </w:p>
    <w:p w14:paraId="1AE69697">
      <w:pPr>
        <w:spacing w:line="360" w:lineRule="auto"/>
        <w:ind w:firstLine="420" w:firstLineChars="200"/>
        <w:rPr>
          <w:rFonts w:ascii="仿宋" w:hAnsi="仿宋" w:eastAsia="仿宋" w:cs="仿宋"/>
          <w:b/>
          <w:bCs/>
          <w:sz w:val="21"/>
          <w:szCs w:val="21"/>
        </w:rPr>
      </w:pPr>
      <w:r>
        <w:rPr>
          <w:rFonts w:hint="eastAsia" w:ascii="宋体" w:hAnsi="宋体"/>
          <w:sz w:val="21"/>
          <w:szCs w:val="21"/>
        </w:rPr>
        <w:t>质量保质期为12个月，正常使用寿命不得低于3年。</w:t>
      </w:r>
    </w:p>
    <w:p w14:paraId="38A64813">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五、售后服务要求</w:t>
      </w:r>
    </w:p>
    <w:p w14:paraId="7BCFE635">
      <w:pPr>
        <w:spacing w:line="360" w:lineRule="auto"/>
        <w:rPr>
          <w:rFonts w:ascii="宋体" w:hAnsi="宋体"/>
          <w:sz w:val="21"/>
          <w:szCs w:val="21"/>
        </w:rPr>
      </w:pPr>
      <w:r>
        <w:rPr>
          <w:rFonts w:hint="eastAsia" w:ascii="宋体" w:hAnsi="宋体"/>
          <w:sz w:val="21"/>
          <w:szCs w:val="21"/>
        </w:rPr>
        <w:t>5.1乙方提供终身技术支持。</w:t>
      </w:r>
    </w:p>
    <w:p w14:paraId="1E738FBC">
      <w:pPr>
        <w:spacing w:line="360" w:lineRule="auto"/>
        <w:rPr>
          <w:rFonts w:ascii="宋体" w:hAnsi="宋体"/>
          <w:sz w:val="21"/>
          <w:szCs w:val="21"/>
        </w:rPr>
      </w:pPr>
      <w:r>
        <w:rPr>
          <w:rFonts w:hint="eastAsia" w:ascii="宋体" w:hAnsi="宋体"/>
          <w:sz w:val="21"/>
          <w:szCs w:val="21"/>
        </w:rPr>
        <w:t>5.2乙方产品在运行中若出现质量问题，</w:t>
      </w:r>
      <w:r>
        <w:rPr>
          <w:rFonts w:ascii="宋体" w:hAnsi="宋体"/>
          <w:sz w:val="21"/>
          <w:szCs w:val="21"/>
        </w:rPr>
        <w:t>48</w:t>
      </w:r>
      <w:r>
        <w:rPr>
          <w:rFonts w:hint="eastAsia" w:ascii="宋体" w:hAnsi="宋体"/>
          <w:sz w:val="21"/>
          <w:szCs w:val="21"/>
        </w:rPr>
        <w:t>小时之内赶赴现场解决，并负责无偿处理，直至恢复设备使用性能。</w:t>
      </w:r>
    </w:p>
    <w:p w14:paraId="449ADEBF">
      <w:pPr>
        <w:spacing w:line="360" w:lineRule="auto"/>
        <w:rPr>
          <w:rFonts w:ascii="宋体" w:hAnsi="宋体"/>
          <w:sz w:val="21"/>
          <w:szCs w:val="21"/>
        </w:rPr>
      </w:pPr>
      <w:r>
        <w:rPr>
          <w:rFonts w:hint="eastAsia" w:ascii="宋体" w:hAnsi="宋体"/>
          <w:sz w:val="21"/>
          <w:szCs w:val="21"/>
        </w:rPr>
        <w:t>5.3产品自上线投用之日计起12个月内若出现质量问题造成损坏，由乙方免费更换同型号</w:t>
      </w:r>
      <w:r>
        <w:rPr>
          <w:rFonts w:hint="eastAsia" w:ascii="宋体" w:hAnsi="宋体" w:cs="宋体"/>
          <w:bCs/>
          <w:sz w:val="21"/>
          <w:szCs w:val="21"/>
        </w:rPr>
        <w:t>制动器</w:t>
      </w:r>
      <w:r>
        <w:rPr>
          <w:rFonts w:hint="eastAsia" w:ascii="宋体" w:hAnsi="宋体"/>
          <w:sz w:val="21"/>
          <w:szCs w:val="21"/>
        </w:rPr>
        <w:t>或修理恢复性能。</w:t>
      </w:r>
    </w:p>
    <w:p w14:paraId="0C292AAA">
      <w:pPr>
        <w:spacing w:line="360" w:lineRule="auto"/>
        <w:rPr>
          <w:rFonts w:ascii="宋体" w:hAnsi="宋体"/>
          <w:sz w:val="21"/>
          <w:szCs w:val="21"/>
        </w:rPr>
      </w:pPr>
      <w:r>
        <w:rPr>
          <w:rFonts w:hint="eastAsia" w:ascii="宋体" w:hAnsi="宋体"/>
          <w:sz w:val="21"/>
          <w:szCs w:val="21"/>
        </w:rPr>
        <w:t>5.4质保期内如因设备本身制造引起的质量问题，发生的费用由乙方承担（含更换、修理），对甲方造成的损失，甲方有进一步进行要求赔偿的权利。质量保证期外如果出现设备问题，甲方需要乙方提供技术服务时、乙方应及时无偿提供现场技术服务或远程技术支持。</w:t>
      </w:r>
    </w:p>
    <w:p w14:paraId="77ED4256">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六、双方责任</w:t>
      </w:r>
    </w:p>
    <w:p w14:paraId="69AD840C">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6.1甲方责任</w:t>
      </w:r>
    </w:p>
    <w:p w14:paraId="2E0EC65C">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甲方应按照乙方提供的安装使用说明书上的要求对</w:t>
      </w:r>
      <w:r>
        <w:rPr>
          <w:rFonts w:hint="eastAsia" w:ascii="宋体" w:hAnsi="宋体" w:cs="宋体"/>
          <w:bCs/>
          <w:sz w:val="21"/>
          <w:szCs w:val="21"/>
        </w:rPr>
        <w:t>制动器</w:t>
      </w:r>
      <w:r>
        <w:rPr>
          <w:rFonts w:hint="eastAsia" w:ascii="宋体" w:hAnsi="宋体" w:cs="宋体"/>
          <w:sz w:val="21"/>
          <w:szCs w:val="21"/>
        </w:rPr>
        <w:t>进行巡检，保证</w:t>
      </w:r>
      <w:r>
        <w:rPr>
          <w:rFonts w:hint="eastAsia" w:ascii="宋体" w:hAnsi="宋体" w:cs="宋体"/>
          <w:bCs/>
          <w:sz w:val="21"/>
          <w:szCs w:val="21"/>
        </w:rPr>
        <w:t>制动器的</w:t>
      </w:r>
      <w:r>
        <w:rPr>
          <w:rFonts w:hint="eastAsia" w:ascii="宋体" w:hAnsi="宋体" w:cs="宋体"/>
          <w:sz w:val="21"/>
          <w:szCs w:val="21"/>
        </w:rPr>
        <w:t>正常运行。</w:t>
      </w:r>
    </w:p>
    <w:p w14:paraId="5BD11176">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6.2乙方责任</w:t>
      </w:r>
    </w:p>
    <w:p w14:paraId="4F291625">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6.2.1乙方提供的产品必须是按照国家标准要求的最新产品。</w:t>
      </w:r>
    </w:p>
    <w:p w14:paraId="77E7691A">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6.2.2乙方提供的产品提供试验报告。</w:t>
      </w:r>
    </w:p>
    <w:p w14:paraId="1B232D05">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6.2.3质保期内，甲方在对</w:t>
      </w:r>
      <w:r>
        <w:rPr>
          <w:rFonts w:hint="eastAsia" w:ascii="宋体" w:hAnsi="宋体" w:cs="宋体"/>
          <w:bCs/>
          <w:sz w:val="21"/>
          <w:szCs w:val="21"/>
        </w:rPr>
        <w:t>制动器</w:t>
      </w:r>
      <w:r>
        <w:rPr>
          <w:rFonts w:hint="eastAsia" w:ascii="宋体" w:hAnsi="宋体" w:cs="宋体"/>
          <w:sz w:val="21"/>
          <w:szCs w:val="21"/>
        </w:rPr>
        <w:t>保养及巡检过程中出现的问题，乙方应及时无偿进行售后服务，直至恢复设备使用性能。</w:t>
      </w:r>
    </w:p>
    <w:p w14:paraId="461BB74B">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6.2.4乙方产品在运行中出现任何问题，乙方应积极配合并无偿提供技术支持；如问题严重，甲方要求乙方到现场处理，乙方必须派技术人员去现场进行处理（质保期内无偿提供服务）。</w:t>
      </w:r>
    </w:p>
    <w:p w14:paraId="41A77813">
      <w:pPr>
        <w:tabs>
          <w:tab w:val="left" w:pos="1080"/>
        </w:tabs>
        <w:adjustRightInd/>
        <w:spacing w:line="360" w:lineRule="auto"/>
        <w:textAlignment w:val="auto"/>
        <w:rPr>
          <w:rFonts w:ascii="宋体" w:hAnsi="宋体" w:cs="宋体"/>
          <w:sz w:val="21"/>
          <w:szCs w:val="21"/>
        </w:rPr>
      </w:pPr>
    </w:p>
    <w:p w14:paraId="6FCF4318">
      <w:pPr>
        <w:numPr>
          <w:ilvl w:val="0"/>
          <w:numId w:val="3"/>
        </w:numPr>
        <w:tabs>
          <w:tab w:val="left" w:pos="1080"/>
        </w:tabs>
        <w:adjustRightInd/>
        <w:spacing w:line="360" w:lineRule="auto"/>
        <w:textAlignment w:val="auto"/>
        <w:rPr>
          <w:rFonts w:ascii="宋体" w:hAnsi="宋体" w:cs="宋体"/>
          <w:b/>
          <w:sz w:val="21"/>
          <w:szCs w:val="21"/>
        </w:rPr>
      </w:pPr>
      <w:r>
        <w:rPr>
          <w:rFonts w:hint="eastAsia" w:ascii="宋体" w:hAnsi="宋体" w:cs="宋体"/>
          <w:b/>
          <w:sz w:val="21"/>
          <w:szCs w:val="21"/>
        </w:rPr>
        <w:t>双方确定因履行本</w:t>
      </w:r>
      <w:r>
        <w:rPr>
          <w:rFonts w:hint="eastAsia" w:ascii="宋体" w:hAnsi="宋体" w:cs="宋体"/>
          <w:b/>
          <w:sz w:val="21"/>
          <w:szCs w:val="21"/>
          <w:lang w:eastAsia="zh-CN"/>
        </w:rPr>
        <w:t>规格书</w:t>
      </w:r>
      <w:r>
        <w:rPr>
          <w:rFonts w:hint="eastAsia" w:ascii="宋体" w:hAnsi="宋体" w:cs="宋体"/>
          <w:b/>
          <w:sz w:val="21"/>
          <w:szCs w:val="21"/>
        </w:rPr>
        <w:t>应遵守的保密义务如下</w:t>
      </w:r>
    </w:p>
    <w:p w14:paraId="67A23737">
      <w:pPr>
        <w:spacing w:line="360" w:lineRule="auto"/>
        <w:rPr>
          <w:rFonts w:ascii="宋体" w:hAnsi="宋体"/>
          <w:sz w:val="21"/>
          <w:szCs w:val="21"/>
          <w:lang w:val="sq-AL"/>
        </w:rPr>
      </w:pPr>
      <w:r>
        <w:rPr>
          <w:rFonts w:hint="eastAsia" w:ascii="宋体" w:hAnsi="宋体"/>
          <w:sz w:val="21"/>
          <w:szCs w:val="21"/>
        </w:rPr>
        <w:t>7.1</w:t>
      </w:r>
      <w:r>
        <w:rPr>
          <w:rFonts w:hint="eastAsia" w:ascii="宋体" w:hAnsi="宋体"/>
          <w:sz w:val="21"/>
          <w:szCs w:val="21"/>
          <w:lang w:val="sq-AL"/>
        </w:rPr>
        <w:t>在本设备范围内由</w:t>
      </w:r>
      <w:r>
        <w:rPr>
          <w:rFonts w:hint="eastAsia" w:ascii="宋体" w:hAnsi="宋体" w:cs="宋体"/>
          <w:sz w:val="21"/>
          <w:szCs w:val="21"/>
        </w:rPr>
        <w:t>乙方</w:t>
      </w:r>
      <w:r>
        <w:rPr>
          <w:rFonts w:hint="eastAsia" w:ascii="宋体" w:hAnsi="宋体"/>
          <w:sz w:val="21"/>
          <w:szCs w:val="21"/>
          <w:lang w:val="sq-AL"/>
        </w:rPr>
        <w:t>提供给</w:t>
      </w:r>
      <w:r>
        <w:rPr>
          <w:rFonts w:hint="eastAsia" w:ascii="宋体" w:hAnsi="宋体" w:cs="宋体"/>
          <w:sz w:val="21"/>
          <w:szCs w:val="21"/>
        </w:rPr>
        <w:t>甲方</w:t>
      </w:r>
      <w:r>
        <w:rPr>
          <w:rFonts w:hint="eastAsia" w:ascii="宋体" w:hAnsi="宋体"/>
          <w:sz w:val="21"/>
          <w:szCs w:val="21"/>
          <w:lang w:val="sq-AL"/>
        </w:rPr>
        <w:t>的所有资料、专有技术及有关图纸，以下称“技术资料”属于</w:t>
      </w:r>
      <w:r>
        <w:rPr>
          <w:rFonts w:hint="eastAsia" w:ascii="宋体" w:hAnsi="宋体" w:cs="宋体"/>
          <w:sz w:val="21"/>
          <w:szCs w:val="21"/>
        </w:rPr>
        <w:t>乙方</w:t>
      </w:r>
      <w:r>
        <w:rPr>
          <w:rFonts w:hint="eastAsia" w:ascii="宋体" w:hAnsi="宋体"/>
          <w:sz w:val="21"/>
          <w:szCs w:val="21"/>
          <w:lang w:val="sq-AL"/>
        </w:rPr>
        <w:t>的知识产权。</w:t>
      </w:r>
      <w:r>
        <w:rPr>
          <w:rFonts w:hint="eastAsia" w:ascii="宋体" w:hAnsi="宋体" w:cs="宋体"/>
          <w:sz w:val="21"/>
          <w:szCs w:val="21"/>
        </w:rPr>
        <w:t>甲方</w:t>
      </w:r>
      <w:r>
        <w:rPr>
          <w:rFonts w:hint="eastAsia" w:ascii="宋体" w:hAnsi="宋体"/>
          <w:sz w:val="21"/>
          <w:szCs w:val="21"/>
          <w:lang w:val="sq-AL"/>
        </w:rPr>
        <w:t>承诺对</w:t>
      </w:r>
      <w:r>
        <w:rPr>
          <w:rFonts w:hint="eastAsia" w:ascii="宋体" w:hAnsi="宋体" w:cs="宋体"/>
          <w:sz w:val="21"/>
          <w:szCs w:val="21"/>
        </w:rPr>
        <w:t>乙方</w:t>
      </w:r>
      <w:r>
        <w:rPr>
          <w:rFonts w:hint="eastAsia" w:ascii="宋体" w:hAnsi="宋体"/>
          <w:sz w:val="21"/>
          <w:szCs w:val="21"/>
          <w:lang w:val="sq-AL"/>
        </w:rPr>
        <w:t>所提供的任何资料、专有技术及有关图纸以及设备或设计有关的任何项目的知识产权，都不向第三方转让。</w:t>
      </w:r>
    </w:p>
    <w:p w14:paraId="6202F8B5">
      <w:pPr>
        <w:spacing w:line="360" w:lineRule="auto"/>
        <w:rPr>
          <w:rFonts w:ascii="宋体" w:hAnsi="宋体"/>
          <w:sz w:val="21"/>
          <w:szCs w:val="21"/>
          <w:lang w:val="sq-AL"/>
        </w:rPr>
      </w:pPr>
      <w:r>
        <w:rPr>
          <w:rFonts w:hint="eastAsia" w:ascii="宋体" w:hAnsi="宋体"/>
          <w:sz w:val="21"/>
          <w:szCs w:val="21"/>
        </w:rPr>
        <w:t>7.2</w:t>
      </w:r>
      <w:r>
        <w:rPr>
          <w:rFonts w:hint="eastAsia" w:ascii="宋体" w:hAnsi="宋体"/>
          <w:sz w:val="21"/>
          <w:szCs w:val="21"/>
          <w:lang w:val="sq-AL"/>
        </w:rPr>
        <w:t>、保密期限</w:t>
      </w:r>
    </w:p>
    <w:p w14:paraId="45AF5A30">
      <w:pPr>
        <w:spacing w:line="360" w:lineRule="auto"/>
        <w:rPr>
          <w:rFonts w:ascii="宋体" w:hAnsi="宋体"/>
          <w:sz w:val="21"/>
          <w:szCs w:val="21"/>
          <w:lang w:val="sq-AL"/>
        </w:rPr>
      </w:pPr>
      <w:r>
        <w:rPr>
          <w:rFonts w:hint="eastAsia" w:ascii="宋体" w:hAnsi="宋体"/>
          <w:sz w:val="21"/>
          <w:szCs w:val="21"/>
          <w:lang w:val="sq-AL"/>
        </w:rPr>
        <w:t>从</w:t>
      </w:r>
      <w:r>
        <w:rPr>
          <w:rFonts w:hint="eastAsia" w:ascii="宋体" w:hAnsi="宋体" w:cs="宋体"/>
          <w:sz w:val="21"/>
          <w:szCs w:val="21"/>
        </w:rPr>
        <w:t>乙方</w:t>
      </w:r>
      <w:r>
        <w:rPr>
          <w:rFonts w:hint="eastAsia" w:ascii="宋体" w:hAnsi="宋体"/>
          <w:sz w:val="21"/>
          <w:szCs w:val="21"/>
          <w:lang w:val="sq-AL"/>
        </w:rPr>
        <w:t>向</w:t>
      </w:r>
      <w:r>
        <w:rPr>
          <w:rFonts w:hint="eastAsia" w:ascii="宋体" w:hAnsi="宋体" w:cs="宋体"/>
          <w:sz w:val="21"/>
          <w:szCs w:val="21"/>
        </w:rPr>
        <w:t>甲方</w:t>
      </w:r>
      <w:r>
        <w:rPr>
          <w:rFonts w:hint="eastAsia" w:ascii="宋体" w:hAnsi="宋体"/>
          <w:sz w:val="21"/>
          <w:szCs w:val="21"/>
          <w:lang w:val="sq-AL"/>
        </w:rPr>
        <w:t>提供图纸之日起，</w:t>
      </w:r>
      <w:r>
        <w:rPr>
          <w:rFonts w:hint="eastAsia" w:ascii="宋体" w:hAnsi="宋体"/>
          <w:sz w:val="21"/>
          <w:szCs w:val="21"/>
        </w:rPr>
        <w:t>5</w:t>
      </w:r>
      <w:r>
        <w:rPr>
          <w:rFonts w:hint="eastAsia" w:ascii="宋体" w:hAnsi="宋体"/>
          <w:sz w:val="21"/>
          <w:szCs w:val="21"/>
          <w:lang w:val="sq-AL"/>
        </w:rPr>
        <w:t>年内未经</w:t>
      </w:r>
      <w:r>
        <w:rPr>
          <w:rFonts w:hint="eastAsia" w:ascii="宋体" w:hAnsi="宋体" w:cs="宋体"/>
          <w:sz w:val="21"/>
          <w:szCs w:val="21"/>
        </w:rPr>
        <w:t>乙方</w:t>
      </w:r>
      <w:r>
        <w:rPr>
          <w:rFonts w:hint="eastAsia" w:ascii="宋体" w:hAnsi="宋体"/>
          <w:sz w:val="21"/>
          <w:szCs w:val="21"/>
          <w:lang w:val="sq-AL"/>
        </w:rPr>
        <w:t>正式书面通知，</w:t>
      </w:r>
      <w:r>
        <w:rPr>
          <w:rFonts w:hint="eastAsia" w:ascii="宋体" w:hAnsi="宋体" w:cs="宋体"/>
          <w:sz w:val="21"/>
          <w:szCs w:val="21"/>
        </w:rPr>
        <w:t>甲方</w:t>
      </w:r>
      <w:r>
        <w:rPr>
          <w:rFonts w:hint="eastAsia" w:ascii="宋体" w:hAnsi="宋体"/>
          <w:sz w:val="21"/>
          <w:szCs w:val="21"/>
          <w:lang w:val="sq-AL"/>
        </w:rPr>
        <w:t>不能将此技术公开或转让。</w:t>
      </w:r>
    </w:p>
    <w:p w14:paraId="51A8977E">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八、违约责任</w:t>
      </w:r>
    </w:p>
    <w:p w14:paraId="209F2159">
      <w:pPr>
        <w:spacing w:line="360" w:lineRule="auto"/>
        <w:rPr>
          <w:rFonts w:ascii="宋体" w:hAnsi="宋体" w:cs="宋体"/>
          <w:sz w:val="21"/>
          <w:szCs w:val="21"/>
        </w:rPr>
      </w:pPr>
      <w:r>
        <w:rPr>
          <w:rFonts w:hint="eastAsia" w:ascii="宋体" w:hAnsi="宋体" w:cs="宋体"/>
          <w:sz w:val="21"/>
          <w:szCs w:val="21"/>
        </w:rPr>
        <w:t>8.1乙方需在合同签订之日起1个月内交货。</w:t>
      </w:r>
    </w:p>
    <w:p w14:paraId="6768E97C">
      <w:pPr>
        <w:spacing w:line="360" w:lineRule="auto"/>
        <w:rPr>
          <w:rFonts w:ascii="宋体" w:hAnsi="宋体"/>
          <w:sz w:val="21"/>
          <w:szCs w:val="21"/>
        </w:rPr>
      </w:pPr>
      <w:r>
        <w:rPr>
          <w:rFonts w:hint="eastAsia" w:ascii="宋体" w:hAnsi="宋体"/>
          <w:sz w:val="21"/>
          <w:szCs w:val="21"/>
        </w:rPr>
        <w:t>8.2交货地点：甘肃酒钢集团宏兴钢铁股份有限公司储运部物资总库。</w:t>
      </w:r>
    </w:p>
    <w:p w14:paraId="4546A960">
      <w:pPr>
        <w:numPr>
          <w:ilvl w:val="0"/>
          <w:numId w:val="0"/>
        </w:numPr>
        <w:spacing w:before="100" w:beforeAutospacing="1" w:after="100" w:afterAutospacing="1" w:line="240" w:lineRule="auto"/>
        <w:ind w:leftChars="0"/>
        <w:rPr>
          <w:rFonts w:hint="eastAsia" w:ascii="宋体" w:hAnsi="宋体" w:cs="宋体"/>
          <w:b/>
          <w:sz w:val="21"/>
          <w:szCs w:val="21"/>
        </w:rPr>
      </w:pPr>
      <w:r>
        <w:rPr>
          <w:rFonts w:hint="eastAsia" w:ascii="宋体" w:hAnsi="宋体" w:cs="宋体"/>
          <w:b/>
          <w:sz w:val="21"/>
          <w:szCs w:val="21"/>
          <w:lang w:eastAsia="zh-CN"/>
        </w:rPr>
        <w:t>九、</w:t>
      </w:r>
      <w:r>
        <w:rPr>
          <w:rFonts w:hint="eastAsia" w:ascii="宋体" w:hAnsi="宋体" w:cs="宋体"/>
          <w:b/>
          <w:sz w:val="21"/>
          <w:szCs w:val="21"/>
        </w:rPr>
        <w:t>其它</w:t>
      </w:r>
    </w:p>
    <w:p w14:paraId="153DEBB1">
      <w:pPr>
        <w:tabs>
          <w:tab w:val="left" w:pos="567"/>
        </w:tabs>
        <w:spacing w:before="0" w:beforeAutospacing="0" w:after="0" w:afterAutospacing="0" w:line="360" w:lineRule="auto"/>
        <w:rPr>
          <w:rFonts w:hint="eastAsia" w:ascii="宋体" w:hAnsi="宋体" w:eastAsia="宋体" w:cs="Times New Roman"/>
          <w:bCs/>
          <w:sz w:val="21"/>
          <w:szCs w:val="21"/>
          <w:highlight w:val="none"/>
        </w:rPr>
      </w:pPr>
      <w:r>
        <w:rPr>
          <w:rFonts w:hint="eastAsia" w:ascii="宋体" w:hAnsi="宋体" w:eastAsia="宋体" w:cs="Times New Roman"/>
          <w:bCs/>
          <w:sz w:val="21"/>
          <w:szCs w:val="21"/>
          <w:highlight w:val="none"/>
          <w:lang w:val="en-US" w:eastAsia="zh-CN"/>
        </w:rPr>
        <w:t>1.</w:t>
      </w:r>
      <w:r>
        <w:rPr>
          <w:rFonts w:hint="eastAsia" w:ascii="宋体" w:hAnsi="宋体" w:eastAsia="宋体" w:cs="Times New Roman"/>
          <w:bCs/>
          <w:sz w:val="21"/>
          <w:szCs w:val="21"/>
          <w:highlight w:val="none"/>
        </w:rPr>
        <w:t>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rPr>
        <w:t>中未尽事宜，双方协商解决。</w:t>
      </w:r>
    </w:p>
    <w:p w14:paraId="02D56037">
      <w:pPr>
        <w:tabs>
          <w:tab w:val="left" w:pos="567"/>
        </w:tabs>
        <w:spacing w:before="0" w:beforeAutospacing="0" w:after="0" w:afterAutospacing="0" w:line="360" w:lineRule="auto"/>
        <w:rPr>
          <w:rFonts w:hint="eastAsia" w:ascii="宋体" w:hAnsi="宋体" w:eastAsia="宋体" w:cs="Times New Roman"/>
          <w:bCs/>
          <w:sz w:val="21"/>
          <w:szCs w:val="21"/>
          <w:highlight w:val="none"/>
        </w:rPr>
      </w:pPr>
      <w:r>
        <w:rPr>
          <w:rFonts w:hint="eastAsia" w:ascii="宋体" w:hAnsi="宋体" w:eastAsia="宋体" w:cs="Times New Roman"/>
          <w:bCs/>
          <w:sz w:val="21"/>
          <w:szCs w:val="21"/>
          <w:highlight w:val="none"/>
          <w:lang w:val="en-US" w:eastAsia="zh-CN"/>
        </w:rPr>
        <w:t>2.</w:t>
      </w:r>
      <w:r>
        <w:rPr>
          <w:rFonts w:hint="eastAsia" w:ascii="宋体" w:hAnsi="宋体" w:eastAsia="宋体" w:cs="Times New Roman"/>
          <w:bCs/>
          <w:sz w:val="21"/>
          <w:szCs w:val="21"/>
          <w:highlight w:val="none"/>
        </w:rPr>
        <w:t>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rPr>
        <w:t>一式四份，甲方三份，乙方一份。</w:t>
      </w:r>
    </w:p>
    <w:p w14:paraId="563C3A25">
      <w:pPr>
        <w:tabs>
          <w:tab w:val="left" w:pos="567"/>
        </w:tabs>
        <w:spacing w:before="0" w:beforeAutospacing="0" w:after="0" w:afterAutospacing="0" w:line="360" w:lineRule="auto"/>
        <w:rPr>
          <w:rFonts w:hint="eastAsia" w:ascii="宋体" w:hAnsi="宋体" w:eastAsia="宋体" w:cs="Times New Roman"/>
          <w:bCs/>
          <w:sz w:val="21"/>
          <w:szCs w:val="21"/>
          <w:highlight w:val="none"/>
          <w:lang w:eastAsia="zh-CN"/>
        </w:rPr>
      </w:pPr>
      <w:r>
        <w:rPr>
          <w:rFonts w:hint="eastAsia" w:ascii="宋体" w:hAnsi="宋体" w:eastAsia="宋体" w:cs="Times New Roman"/>
          <w:bCs/>
          <w:sz w:val="21"/>
          <w:szCs w:val="21"/>
          <w:highlight w:val="none"/>
          <w:lang w:val="en-US" w:eastAsia="zh-CN"/>
        </w:rPr>
        <w:t>3.若</w:t>
      </w:r>
      <w:r>
        <w:rPr>
          <w:rFonts w:hint="eastAsia" w:ascii="宋体" w:hAnsi="宋体" w:eastAsia="宋体" w:cs="Times New Roman"/>
          <w:bCs/>
          <w:sz w:val="21"/>
          <w:szCs w:val="21"/>
          <w:highlight w:val="none"/>
          <w:lang w:eastAsia="zh-CN"/>
        </w:rPr>
        <w:t>乙方</w:t>
      </w:r>
      <w:r>
        <w:rPr>
          <w:rFonts w:hint="eastAsia" w:ascii="宋体" w:hAnsi="宋体" w:eastAsia="宋体" w:cs="Times New Roman"/>
          <w:bCs/>
          <w:sz w:val="21"/>
          <w:szCs w:val="21"/>
          <w:highlight w:val="none"/>
          <w:lang w:val="en-US" w:eastAsia="zh-CN"/>
        </w:rPr>
        <w:t>公司不能中标，则本技术规格书自动失效，双方互不承担任何责任。</w:t>
      </w:r>
    </w:p>
    <w:p w14:paraId="0E8C99EC">
      <w:pPr>
        <w:tabs>
          <w:tab w:val="left" w:pos="567"/>
        </w:tabs>
        <w:spacing w:before="0" w:beforeAutospacing="0" w:after="0" w:afterAutospacing="0" w:line="360" w:lineRule="auto"/>
        <w:rPr>
          <w:rFonts w:hint="eastAsia" w:ascii="宋体" w:hAnsi="宋体" w:eastAsia="宋体" w:cs="Times New Roman"/>
          <w:bCs/>
          <w:sz w:val="21"/>
          <w:szCs w:val="21"/>
          <w:highlight w:val="none"/>
          <w:lang w:val="en-US" w:eastAsia="zh-CN"/>
        </w:rPr>
      </w:pPr>
      <w:r>
        <w:rPr>
          <w:rFonts w:hint="eastAsia" w:ascii="宋体" w:hAnsi="宋体" w:eastAsia="宋体" w:cs="Times New Roman"/>
          <w:bCs/>
          <w:sz w:val="21"/>
          <w:szCs w:val="21"/>
          <w:highlight w:val="none"/>
          <w:lang w:val="en-US" w:eastAsia="zh-CN"/>
        </w:rPr>
        <w:t>4.本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lang w:val="en-US" w:eastAsia="zh-CN"/>
        </w:rPr>
        <w:t>内容经由甲乙双方与     年  月  日  时-  时通过     方式商定。</w:t>
      </w:r>
    </w:p>
    <w:p w14:paraId="4DC4CDFA">
      <w:pPr>
        <w:tabs>
          <w:tab w:val="left" w:pos="567"/>
        </w:tabs>
        <w:spacing w:before="0" w:beforeAutospacing="0" w:after="0" w:afterAutospacing="0" w:line="360" w:lineRule="auto"/>
        <w:rPr>
          <w:rFonts w:hint="eastAsia" w:ascii="宋体" w:hAnsi="宋体" w:eastAsia="宋体" w:cs="Times New Roman"/>
          <w:bCs/>
          <w:sz w:val="21"/>
          <w:szCs w:val="21"/>
          <w:highlight w:val="none"/>
          <w:lang w:val="en-US" w:eastAsia="zh-CN"/>
        </w:rPr>
      </w:pPr>
      <w:r>
        <w:rPr>
          <w:rFonts w:hint="eastAsia" w:ascii="宋体" w:hAnsi="宋体" w:eastAsia="宋体" w:cs="Times New Roman"/>
          <w:bCs/>
          <w:sz w:val="21"/>
          <w:szCs w:val="21"/>
          <w:highlight w:val="none"/>
          <w:lang w:val="en-US" w:eastAsia="zh-CN"/>
        </w:rPr>
        <w:t>5.甲乙双方应当就签订本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lang w:val="en-US" w:eastAsia="zh-CN"/>
        </w:rPr>
        <w:t>的相关事宜保密，不得将签订主体、时间、内容等信息透露给其他第三人。</w:t>
      </w:r>
    </w:p>
    <w:p w14:paraId="61D256D6">
      <w:pPr>
        <w:tabs>
          <w:tab w:val="left" w:pos="1943"/>
        </w:tabs>
        <w:spacing w:line="360" w:lineRule="auto"/>
        <w:rPr>
          <w:rFonts w:ascii="宋体" w:hAnsi="宋体" w:cs="宋体"/>
          <w:b/>
          <w:sz w:val="32"/>
          <w:szCs w:val="32"/>
        </w:rPr>
      </w:pPr>
    </w:p>
    <w:p w14:paraId="76A27BC7">
      <w:pPr>
        <w:tabs>
          <w:tab w:val="left" w:pos="1943"/>
        </w:tabs>
        <w:spacing w:line="480" w:lineRule="auto"/>
        <w:rPr>
          <w:rFonts w:ascii="宋体" w:hAnsi="宋体" w:cs="宋体"/>
          <w:b/>
          <w:sz w:val="32"/>
          <w:szCs w:val="32"/>
        </w:rPr>
      </w:pPr>
      <w:r>
        <w:rPr>
          <w:rFonts w:hint="eastAsia" w:ascii="宋体" w:hAnsi="宋体" w:cs="宋体"/>
          <w:b/>
          <w:sz w:val="32"/>
          <w:szCs w:val="32"/>
        </w:rPr>
        <w:t xml:space="preserve">甲方单位名称：甘肃酒钢集团宏兴钢铁股份有限公司    </w:t>
      </w:r>
    </w:p>
    <w:p w14:paraId="2DE7EDA2">
      <w:pPr>
        <w:tabs>
          <w:tab w:val="left" w:pos="1943"/>
        </w:tabs>
        <w:spacing w:line="480" w:lineRule="auto"/>
        <w:rPr>
          <w:rFonts w:ascii="宋体" w:hAnsi="宋体" w:cs="宋体"/>
          <w:b/>
          <w:sz w:val="32"/>
          <w:szCs w:val="32"/>
        </w:rPr>
      </w:pPr>
      <w:r>
        <w:rPr>
          <w:rFonts w:hint="eastAsia" w:ascii="宋体" w:hAnsi="宋体" w:cs="宋体"/>
          <w:b/>
          <w:sz w:val="32"/>
          <w:szCs w:val="32"/>
        </w:rPr>
        <w:t>甲方代表：                               年   月   日</w:t>
      </w:r>
    </w:p>
    <w:p w14:paraId="1D3EEAAC">
      <w:pPr>
        <w:tabs>
          <w:tab w:val="left" w:pos="1943"/>
        </w:tabs>
        <w:spacing w:line="480" w:lineRule="auto"/>
        <w:rPr>
          <w:rFonts w:ascii="宋体" w:hAnsi="宋体" w:cs="宋体"/>
          <w:b/>
          <w:sz w:val="32"/>
          <w:szCs w:val="32"/>
        </w:rPr>
      </w:pPr>
    </w:p>
    <w:p w14:paraId="778C6D57">
      <w:pPr>
        <w:tabs>
          <w:tab w:val="left" w:pos="1943"/>
        </w:tabs>
        <w:spacing w:line="480" w:lineRule="auto"/>
        <w:rPr>
          <w:rFonts w:ascii="宋体" w:hAnsi="宋体" w:cs="宋体"/>
          <w:b/>
          <w:sz w:val="32"/>
          <w:szCs w:val="32"/>
        </w:rPr>
      </w:pPr>
    </w:p>
    <w:p w14:paraId="7670B0D7">
      <w:pPr>
        <w:tabs>
          <w:tab w:val="left" w:pos="1943"/>
        </w:tabs>
        <w:spacing w:line="480" w:lineRule="auto"/>
        <w:rPr>
          <w:rFonts w:ascii="宋体" w:hAnsi="宋体" w:cs="宋体"/>
          <w:b/>
          <w:sz w:val="32"/>
          <w:szCs w:val="32"/>
        </w:rPr>
      </w:pPr>
      <w:r>
        <w:rPr>
          <w:rFonts w:hint="eastAsia" w:ascii="宋体" w:hAnsi="宋体" w:cs="宋体"/>
          <w:b/>
          <w:sz w:val="32"/>
          <w:szCs w:val="32"/>
        </w:rPr>
        <w:t>乙方单位名称：</w:t>
      </w:r>
    </w:p>
    <w:p w14:paraId="6108F63A">
      <w:pPr>
        <w:spacing w:line="480" w:lineRule="auto"/>
        <w:rPr>
          <w:rFonts w:ascii="宋体" w:hAnsi="宋体"/>
          <w:b/>
          <w:sz w:val="28"/>
          <w:szCs w:val="28"/>
        </w:rPr>
      </w:pPr>
      <w:r>
        <w:rPr>
          <w:rFonts w:hint="eastAsia" w:ascii="宋体" w:hAnsi="宋体" w:cs="宋体"/>
          <w:b/>
          <w:sz w:val="32"/>
          <w:szCs w:val="32"/>
        </w:rPr>
        <w:t>乙方代表：                               年   月   日</w:t>
      </w:r>
    </w:p>
    <w:sectPr>
      <w:headerReference r:id="rId5" w:type="default"/>
      <w:footerReference r:id="rId6" w:type="default"/>
      <w:pgSz w:w="11907" w:h="16840"/>
      <w:pgMar w:top="1417" w:right="1418" w:bottom="1417" w:left="1418" w:header="567" w:footer="510" w:gutter="0"/>
      <w:cols w:space="720"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embedRegular r:id="rId1" w:fontKey="{9E6C1D24-DFC8-47F0-B3BC-D326BE73D06E}"/>
  </w:font>
  <w:font w:name="华文中宋">
    <w:panose1 w:val="02010600040101010101"/>
    <w:charset w:val="86"/>
    <w:family w:val="auto"/>
    <w:pitch w:val="default"/>
    <w:sig w:usb0="00000287" w:usb1="080F0000" w:usb2="00000000" w:usb3="00000000" w:csb0="0004009F" w:csb1="DFD70000"/>
    <w:embedRegular r:id="rId2" w:fontKey="{DEB2C967-71C8-4C7A-9DBC-CBA7AD6F9A6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5CE55">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72FEF48">
                          <w:pPr>
                            <w:pStyle w:val="7"/>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wps:txbx>
                    <wps:bodyPr vert="horz" wrap="none" lIns="0" tIns="0" rIns="0" bIns="0" anchor="t" anchorCtr="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&#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OqXm5zwAAAAUBAAAPAAAAAAAAAAEAIAAAACIAAABk&#10;cnMvZG93bnJldi54bWxQSwECFAAUAAAACACHTuJA719g2NYBAACyAwAADgAAAAAAAAABACAAAAAe&#10;AQAAZHJzL2Uyb0RvYy54bWxQSwUGAAAAAAYABgBZAQAAZgUAAAAA&#10;">
              <v:fill on="f" focussize="0,0"/>
              <v:stroke on="f"/>
              <v:imagedata o:title=""/>
              <o:lock v:ext="edit" aspectratio="f"/>
              <v:textbox inset="0mm,0mm,0mm,0mm" style="mso-fit-shape-to-text:t;">
                <w:txbxContent>
                  <w:p w14:paraId="072FEF48">
                    <w:pPr>
                      <w:pStyle w:val="7"/>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DFA8C">
    <w:pPr>
      <w:pStyle w:val="8"/>
      <w:jc w:val="left"/>
      <w:rPr>
        <w:u w:val="single" w:color="7F7F7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E79D9"/>
    <w:multiLevelType w:val="multilevel"/>
    <w:tmpl w:val="0EEE79D9"/>
    <w:lvl w:ilvl="0" w:tentative="0">
      <w:start w:val="1"/>
      <w:numFmt w:val="decimal"/>
      <w:lvlText w:val="1.%1"/>
      <w:lvlJc w:val="left"/>
      <w:pPr>
        <w:tabs>
          <w:tab w:val="left" w:pos="0"/>
        </w:tabs>
        <w:ind w:left="0" w:firstLine="0"/>
      </w:pPr>
      <w:rPr>
        <w:rFonts w:hint="default"/>
      </w:rPr>
    </w:lvl>
    <w:lvl w:ilvl="1" w:tentative="0">
      <w:start w:val="1"/>
      <w:numFmt w:val="decimal"/>
      <w:lvlText w:val="%2、"/>
      <w:lvlJc w:val="left"/>
      <w:pPr>
        <w:tabs>
          <w:tab w:val="left" w:pos="1260"/>
        </w:tabs>
        <w:ind w:left="1260" w:hanging="36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3EB13515"/>
    <w:multiLevelType w:val="singleLevel"/>
    <w:tmpl w:val="3EB13515"/>
    <w:lvl w:ilvl="0" w:tentative="0">
      <w:start w:val="7"/>
      <w:numFmt w:val="chineseCounting"/>
      <w:suff w:val="space"/>
      <w:lvlText w:val="%1、"/>
      <w:lvlJc w:val="left"/>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16"/>
      <w:suff w:val="nothing"/>
      <w:lvlText w:val="%1%2　"/>
      <w:lvlJc w:val="left"/>
      <w:pPr>
        <w:ind w:left="0" w:firstLine="0"/>
      </w:pPr>
      <w:rPr>
        <w:rFonts w:hint="eastAsia" w:ascii="黑体" w:hAnsi="Times New Roman" w:eastAsia="黑体"/>
        <w:b w:val="0"/>
        <w:i w:val="0"/>
        <w:sz w:val="21"/>
      </w:rPr>
    </w:lvl>
    <w:lvl w:ilvl="2" w:tentative="0">
      <w:start w:val="1"/>
      <w:numFmt w:val="decimal"/>
      <w:pStyle w:val="15"/>
      <w:suff w:val="nothing"/>
      <w:lvlText w:val="%1%2.%3　"/>
      <w:lvlJc w:val="left"/>
      <w:pPr>
        <w:ind w:left="113" w:hanging="113"/>
      </w:pPr>
      <w:rPr>
        <w:rFonts w:hint="eastAsia" w:ascii="黑体" w:hAnsi="Times New Roman" w:eastAsia="黑体"/>
        <w:b w:val="0"/>
        <w:i w:val="0"/>
        <w:sz w:val="21"/>
      </w:rPr>
    </w:lvl>
    <w:lvl w:ilvl="3" w:tentative="0">
      <w:start w:val="1"/>
      <w:numFmt w:val="decimal"/>
      <w:suff w:val="nothing"/>
      <w:lvlText w:val="%1%2.%3.%4　"/>
      <w:lvlJc w:val="left"/>
      <w:pPr>
        <w:ind w:left="937" w:hanging="227"/>
      </w:pPr>
      <w:rPr>
        <w:rFonts w:hint="eastAsia" w:ascii="宋体" w:hAnsi="宋体" w:eastAsia="宋体"/>
        <w:b w:val="0"/>
        <w:i w:val="0"/>
        <w:color w:val="auto"/>
        <w:sz w:val="21"/>
      </w:rPr>
    </w:lvl>
    <w:lvl w:ilvl="4" w:tentative="0">
      <w:start w:val="1"/>
      <w:numFmt w:val="decimal"/>
      <w:suff w:val="nothing"/>
      <w:lvlText w:val="%1%2.%3.%4.%5　"/>
      <w:lvlJc w:val="left"/>
      <w:pPr>
        <w:ind w:left="1058" w:hanging="113"/>
      </w:pPr>
      <w:rPr>
        <w:rFonts w:hint="eastAsia" w:ascii="宋体" w:hAnsi="宋体" w:eastAsia="宋体"/>
        <w:b w:val="0"/>
        <w:i w:val="0"/>
        <w:sz w:val="21"/>
      </w:rPr>
    </w:lvl>
    <w:lvl w:ilvl="5" w:tentative="0">
      <w:start w:val="1"/>
      <w:numFmt w:val="decimal"/>
      <w:suff w:val="nothing"/>
      <w:lvlText w:val="%1%2.%3.%4.%5.%6　"/>
      <w:lvlJc w:val="left"/>
      <w:pPr>
        <w:ind w:left="0" w:firstLine="0"/>
      </w:pPr>
      <w:rPr>
        <w:rFonts w:hint="eastAsia" w:ascii="宋体" w:hAnsi="宋体" w:eastAsia="宋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UxMDM5NmNmZWRiZWQ0MTZlM2E5N2E4ZThjYTAyZWUifQ=="/>
    <w:docVar w:name="KSO_WPS_MARK_KEY" w:val="213480a1-91aa-4224-aad4-b9ebffe64bcd"/>
  </w:docVars>
  <w:rsids>
    <w:rsidRoot w:val="001331D1"/>
    <w:rsid w:val="0001141A"/>
    <w:rsid w:val="00011D2D"/>
    <w:rsid w:val="00015F2E"/>
    <w:rsid w:val="000161F4"/>
    <w:rsid w:val="00020B3A"/>
    <w:rsid w:val="0002671B"/>
    <w:rsid w:val="00026B8C"/>
    <w:rsid w:val="00030650"/>
    <w:rsid w:val="000405F4"/>
    <w:rsid w:val="00044089"/>
    <w:rsid w:val="00073D67"/>
    <w:rsid w:val="00082193"/>
    <w:rsid w:val="00083E20"/>
    <w:rsid w:val="00097072"/>
    <w:rsid w:val="000A414C"/>
    <w:rsid w:val="000B06D8"/>
    <w:rsid w:val="000B23DC"/>
    <w:rsid w:val="000B6A55"/>
    <w:rsid w:val="000B6F45"/>
    <w:rsid w:val="000C1ABC"/>
    <w:rsid w:val="000C5F2D"/>
    <w:rsid w:val="000D35C1"/>
    <w:rsid w:val="000D6A86"/>
    <w:rsid w:val="000F428C"/>
    <w:rsid w:val="00106F3E"/>
    <w:rsid w:val="0011177C"/>
    <w:rsid w:val="00113F0B"/>
    <w:rsid w:val="0011702A"/>
    <w:rsid w:val="00131B9B"/>
    <w:rsid w:val="001331D1"/>
    <w:rsid w:val="00144FC6"/>
    <w:rsid w:val="00153B2F"/>
    <w:rsid w:val="001567A3"/>
    <w:rsid w:val="00156C8D"/>
    <w:rsid w:val="00164158"/>
    <w:rsid w:val="00172490"/>
    <w:rsid w:val="00184042"/>
    <w:rsid w:val="00186466"/>
    <w:rsid w:val="00193576"/>
    <w:rsid w:val="001962EB"/>
    <w:rsid w:val="001967AF"/>
    <w:rsid w:val="001A3173"/>
    <w:rsid w:val="001B3474"/>
    <w:rsid w:val="001B6AFA"/>
    <w:rsid w:val="001C7153"/>
    <w:rsid w:val="001D63F8"/>
    <w:rsid w:val="001E2ACE"/>
    <w:rsid w:val="001E321F"/>
    <w:rsid w:val="00204007"/>
    <w:rsid w:val="00204D42"/>
    <w:rsid w:val="002067B3"/>
    <w:rsid w:val="00211DEE"/>
    <w:rsid w:val="00217D0A"/>
    <w:rsid w:val="00217DD3"/>
    <w:rsid w:val="0022361B"/>
    <w:rsid w:val="002275F7"/>
    <w:rsid w:val="00236A26"/>
    <w:rsid w:val="00244551"/>
    <w:rsid w:val="00260F6D"/>
    <w:rsid w:val="002836F9"/>
    <w:rsid w:val="00297CCA"/>
    <w:rsid w:val="002C05C6"/>
    <w:rsid w:val="002C3386"/>
    <w:rsid w:val="002C525B"/>
    <w:rsid w:val="002F72D0"/>
    <w:rsid w:val="0031664E"/>
    <w:rsid w:val="00327905"/>
    <w:rsid w:val="003325B5"/>
    <w:rsid w:val="00352F04"/>
    <w:rsid w:val="00354922"/>
    <w:rsid w:val="0036256B"/>
    <w:rsid w:val="00366AC2"/>
    <w:rsid w:val="003670B9"/>
    <w:rsid w:val="00374DD4"/>
    <w:rsid w:val="0037633F"/>
    <w:rsid w:val="0038300F"/>
    <w:rsid w:val="003B01F1"/>
    <w:rsid w:val="003B7AFD"/>
    <w:rsid w:val="003C0E1F"/>
    <w:rsid w:val="003C52D3"/>
    <w:rsid w:val="003D0B80"/>
    <w:rsid w:val="003D2287"/>
    <w:rsid w:val="003D4857"/>
    <w:rsid w:val="003E17F8"/>
    <w:rsid w:val="003F25C0"/>
    <w:rsid w:val="003F2EFD"/>
    <w:rsid w:val="003F7080"/>
    <w:rsid w:val="004071AB"/>
    <w:rsid w:val="00410F66"/>
    <w:rsid w:val="00416EB6"/>
    <w:rsid w:val="004242C2"/>
    <w:rsid w:val="00442EB8"/>
    <w:rsid w:val="00450156"/>
    <w:rsid w:val="004520B7"/>
    <w:rsid w:val="0045428B"/>
    <w:rsid w:val="0047019F"/>
    <w:rsid w:val="0047768F"/>
    <w:rsid w:val="00486FCC"/>
    <w:rsid w:val="00487128"/>
    <w:rsid w:val="00490EF5"/>
    <w:rsid w:val="00490F65"/>
    <w:rsid w:val="0049364E"/>
    <w:rsid w:val="004945A2"/>
    <w:rsid w:val="004A42FA"/>
    <w:rsid w:val="004C0E64"/>
    <w:rsid w:val="004C63EB"/>
    <w:rsid w:val="004C7B70"/>
    <w:rsid w:val="004D142A"/>
    <w:rsid w:val="004D1F05"/>
    <w:rsid w:val="004F535E"/>
    <w:rsid w:val="00502D0B"/>
    <w:rsid w:val="00502D1A"/>
    <w:rsid w:val="005113A4"/>
    <w:rsid w:val="00522E2C"/>
    <w:rsid w:val="0052562A"/>
    <w:rsid w:val="00530D3F"/>
    <w:rsid w:val="005439D8"/>
    <w:rsid w:val="00572FD1"/>
    <w:rsid w:val="00581B09"/>
    <w:rsid w:val="00585271"/>
    <w:rsid w:val="0059132F"/>
    <w:rsid w:val="005972C8"/>
    <w:rsid w:val="005A1BD7"/>
    <w:rsid w:val="005A1FA9"/>
    <w:rsid w:val="005B5D70"/>
    <w:rsid w:val="005B5DA3"/>
    <w:rsid w:val="005C2522"/>
    <w:rsid w:val="005D0D17"/>
    <w:rsid w:val="005D1801"/>
    <w:rsid w:val="005D1C91"/>
    <w:rsid w:val="005D20A3"/>
    <w:rsid w:val="005D2BEC"/>
    <w:rsid w:val="005D414D"/>
    <w:rsid w:val="005D74BD"/>
    <w:rsid w:val="005E3038"/>
    <w:rsid w:val="005E37EE"/>
    <w:rsid w:val="005F16E4"/>
    <w:rsid w:val="00600E9A"/>
    <w:rsid w:val="006023C1"/>
    <w:rsid w:val="00630914"/>
    <w:rsid w:val="00635321"/>
    <w:rsid w:val="006367EC"/>
    <w:rsid w:val="0065108C"/>
    <w:rsid w:val="00660A86"/>
    <w:rsid w:val="00671967"/>
    <w:rsid w:val="00672405"/>
    <w:rsid w:val="00680719"/>
    <w:rsid w:val="0068570C"/>
    <w:rsid w:val="006943A1"/>
    <w:rsid w:val="00694BBC"/>
    <w:rsid w:val="006B71C2"/>
    <w:rsid w:val="006E7C5B"/>
    <w:rsid w:val="006E7FCF"/>
    <w:rsid w:val="006F26BE"/>
    <w:rsid w:val="006F5273"/>
    <w:rsid w:val="00703A27"/>
    <w:rsid w:val="0070748A"/>
    <w:rsid w:val="007111B8"/>
    <w:rsid w:val="00715FFC"/>
    <w:rsid w:val="00745620"/>
    <w:rsid w:val="00750DFA"/>
    <w:rsid w:val="00757599"/>
    <w:rsid w:val="00761C2C"/>
    <w:rsid w:val="0076769B"/>
    <w:rsid w:val="00767716"/>
    <w:rsid w:val="0077229C"/>
    <w:rsid w:val="00773F1E"/>
    <w:rsid w:val="0078588E"/>
    <w:rsid w:val="007909CB"/>
    <w:rsid w:val="007A52CE"/>
    <w:rsid w:val="007B6C35"/>
    <w:rsid w:val="007C7D26"/>
    <w:rsid w:val="007D463B"/>
    <w:rsid w:val="007F4FB4"/>
    <w:rsid w:val="00800B80"/>
    <w:rsid w:val="008020A6"/>
    <w:rsid w:val="008073D8"/>
    <w:rsid w:val="0081435B"/>
    <w:rsid w:val="00817585"/>
    <w:rsid w:val="00833984"/>
    <w:rsid w:val="00834CAE"/>
    <w:rsid w:val="00835F54"/>
    <w:rsid w:val="00850AE1"/>
    <w:rsid w:val="00861B49"/>
    <w:rsid w:val="00873108"/>
    <w:rsid w:val="008731B3"/>
    <w:rsid w:val="00882AE2"/>
    <w:rsid w:val="008C07C5"/>
    <w:rsid w:val="008C2545"/>
    <w:rsid w:val="008D0365"/>
    <w:rsid w:val="008D7378"/>
    <w:rsid w:val="008E0A6B"/>
    <w:rsid w:val="008E1BB8"/>
    <w:rsid w:val="008F5650"/>
    <w:rsid w:val="009008B6"/>
    <w:rsid w:val="00912ACD"/>
    <w:rsid w:val="0091312E"/>
    <w:rsid w:val="009153DD"/>
    <w:rsid w:val="00923942"/>
    <w:rsid w:val="0093311E"/>
    <w:rsid w:val="00962804"/>
    <w:rsid w:val="009730C1"/>
    <w:rsid w:val="0098523F"/>
    <w:rsid w:val="0099323A"/>
    <w:rsid w:val="00997A20"/>
    <w:rsid w:val="009B0F66"/>
    <w:rsid w:val="009B2796"/>
    <w:rsid w:val="009B7315"/>
    <w:rsid w:val="009C086A"/>
    <w:rsid w:val="009C38F6"/>
    <w:rsid w:val="009C6BF7"/>
    <w:rsid w:val="009E20F8"/>
    <w:rsid w:val="009E626E"/>
    <w:rsid w:val="00A16921"/>
    <w:rsid w:val="00A20293"/>
    <w:rsid w:val="00A20B8E"/>
    <w:rsid w:val="00A27EBF"/>
    <w:rsid w:val="00A4719B"/>
    <w:rsid w:val="00A8267D"/>
    <w:rsid w:val="00A96D93"/>
    <w:rsid w:val="00A96FC8"/>
    <w:rsid w:val="00AB1B44"/>
    <w:rsid w:val="00AB6F8E"/>
    <w:rsid w:val="00AD568A"/>
    <w:rsid w:val="00AE61C5"/>
    <w:rsid w:val="00AF3582"/>
    <w:rsid w:val="00B011D9"/>
    <w:rsid w:val="00B05B1E"/>
    <w:rsid w:val="00B131BE"/>
    <w:rsid w:val="00B263B2"/>
    <w:rsid w:val="00B41C27"/>
    <w:rsid w:val="00B43160"/>
    <w:rsid w:val="00B431A2"/>
    <w:rsid w:val="00B5054B"/>
    <w:rsid w:val="00B636E0"/>
    <w:rsid w:val="00B71740"/>
    <w:rsid w:val="00B73354"/>
    <w:rsid w:val="00B76E25"/>
    <w:rsid w:val="00BA04D0"/>
    <w:rsid w:val="00BA1F7F"/>
    <w:rsid w:val="00BA209D"/>
    <w:rsid w:val="00BB28B5"/>
    <w:rsid w:val="00BB3325"/>
    <w:rsid w:val="00BB7DA0"/>
    <w:rsid w:val="00BC3FC0"/>
    <w:rsid w:val="00BE24DA"/>
    <w:rsid w:val="00BF552C"/>
    <w:rsid w:val="00C03E60"/>
    <w:rsid w:val="00C0713D"/>
    <w:rsid w:val="00C12502"/>
    <w:rsid w:val="00C1570B"/>
    <w:rsid w:val="00C1592D"/>
    <w:rsid w:val="00C16413"/>
    <w:rsid w:val="00C24A1A"/>
    <w:rsid w:val="00C36127"/>
    <w:rsid w:val="00C5084D"/>
    <w:rsid w:val="00C53649"/>
    <w:rsid w:val="00C65F5C"/>
    <w:rsid w:val="00C66D50"/>
    <w:rsid w:val="00C737B8"/>
    <w:rsid w:val="00C75496"/>
    <w:rsid w:val="00C81112"/>
    <w:rsid w:val="00CA4949"/>
    <w:rsid w:val="00CB4A8A"/>
    <w:rsid w:val="00CC3A80"/>
    <w:rsid w:val="00CC4F96"/>
    <w:rsid w:val="00CE3B2A"/>
    <w:rsid w:val="00CF1626"/>
    <w:rsid w:val="00CF294A"/>
    <w:rsid w:val="00CF4029"/>
    <w:rsid w:val="00CF7A50"/>
    <w:rsid w:val="00D026D1"/>
    <w:rsid w:val="00D2770C"/>
    <w:rsid w:val="00D3717A"/>
    <w:rsid w:val="00D374A2"/>
    <w:rsid w:val="00D40197"/>
    <w:rsid w:val="00D62AD6"/>
    <w:rsid w:val="00D80490"/>
    <w:rsid w:val="00D83EEC"/>
    <w:rsid w:val="00D95DA2"/>
    <w:rsid w:val="00DA27A9"/>
    <w:rsid w:val="00DA311D"/>
    <w:rsid w:val="00DA3619"/>
    <w:rsid w:val="00DC645E"/>
    <w:rsid w:val="00DC6B07"/>
    <w:rsid w:val="00DD0E39"/>
    <w:rsid w:val="00DD1660"/>
    <w:rsid w:val="00DD4785"/>
    <w:rsid w:val="00DF4835"/>
    <w:rsid w:val="00E0363B"/>
    <w:rsid w:val="00E041C8"/>
    <w:rsid w:val="00E340AA"/>
    <w:rsid w:val="00E4427D"/>
    <w:rsid w:val="00E60D06"/>
    <w:rsid w:val="00E6470F"/>
    <w:rsid w:val="00E7613C"/>
    <w:rsid w:val="00E772E1"/>
    <w:rsid w:val="00E82B12"/>
    <w:rsid w:val="00E84882"/>
    <w:rsid w:val="00E95DFA"/>
    <w:rsid w:val="00E96B63"/>
    <w:rsid w:val="00EA0056"/>
    <w:rsid w:val="00EB371C"/>
    <w:rsid w:val="00ED3DFB"/>
    <w:rsid w:val="00ED6515"/>
    <w:rsid w:val="00EE7A8F"/>
    <w:rsid w:val="00EF0BCB"/>
    <w:rsid w:val="00EF7504"/>
    <w:rsid w:val="00F12F94"/>
    <w:rsid w:val="00F13A36"/>
    <w:rsid w:val="00F22DF5"/>
    <w:rsid w:val="00F279AB"/>
    <w:rsid w:val="00F40E6D"/>
    <w:rsid w:val="00F43E09"/>
    <w:rsid w:val="00F53617"/>
    <w:rsid w:val="00F53FAC"/>
    <w:rsid w:val="00F66875"/>
    <w:rsid w:val="00F673E3"/>
    <w:rsid w:val="00F72744"/>
    <w:rsid w:val="00F72C73"/>
    <w:rsid w:val="00F85155"/>
    <w:rsid w:val="00FA22EB"/>
    <w:rsid w:val="00FC3052"/>
    <w:rsid w:val="00FC4AB8"/>
    <w:rsid w:val="00FD3F6E"/>
    <w:rsid w:val="00FE0478"/>
    <w:rsid w:val="00FE271D"/>
    <w:rsid w:val="00FF0F0F"/>
    <w:rsid w:val="01277263"/>
    <w:rsid w:val="0156352C"/>
    <w:rsid w:val="02CB1DD3"/>
    <w:rsid w:val="04DB4BD9"/>
    <w:rsid w:val="04FE7DE4"/>
    <w:rsid w:val="05AD06A5"/>
    <w:rsid w:val="06F96155"/>
    <w:rsid w:val="07C15933"/>
    <w:rsid w:val="07C71961"/>
    <w:rsid w:val="08412DC5"/>
    <w:rsid w:val="0874242B"/>
    <w:rsid w:val="08E120D5"/>
    <w:rsid w:val="09982317"/>
    <w:rsid w:val="09F558AC"/>
    <w:rsid w:val="0A98549C"/>
    <w:rsid w:val="0CA13B0C"/>
    <w:rsid w:val="0D2668A2"/>
    <w:rsid w:val="0DF93715"/>
    <w:rsid w:val="0E1E5330"/>
    <w:rsid w:val="0E40747A"/>
    <w:rsid w:val="0E6A0C63"/>
    <w:rsid w:val="0E934A48"/>
    <w:rsid w:val="10246669"/>
    <w:rsid w:val="102C77E1"/>
    <w:rsid w:val="12455641"/>
    <w:rsid w:val="125C0007"/>
    <w:rsid w:val="12C619F4"/>
    <w:rsid w:val="12E3158A"/>
    <w:rsid w:val="140355C2"/>
    <w:rsid w:val="14E12187"/>
    <w:rsid w:val="15F077AC"/>
    <w:rsid w:val="160663D4"/>
    <w:rsid w:val="16A2325A"/>
    <w:rsid w:val="16DF5613"/>
    <w:rsid w:val="1700207A"/>
    <w:rsid w:val="17394AF3"/>
    <w:rsid w:val="17745965"/>
    <w:rsid w:val="18694D75"/>
    <w:rsid w:val="186F4A5A"/>
    <w:rsid w:val="19A42FD7"/>
    <w:rsid w:val="19BC1A8F"/>
    <w:rsid w:val="19EE425D"/>
    <w:rsid w:val="1A604812"/>
    <w:rsid w:val="1B3B7139"/>
    <w:rsid w:val="1B780DE1"/>
    <w:rsid w:val="1B9211AC"/>
    <w:rsid w:val="1BB03F4D"/>
    <w:rsid w:val="1BD86885"/>
    <w:rsid w:val="1D8F232B"/>
    <w:rsid w:val="1DBF08FB"/>
    <w:rsid w:val="1E710802"/>
    <w:rsid w:val="1EAC1D68"/>
    <w:rsid w:val="1F05467D"/>
    <w:rsid w:val="1F3025BA"/>
    <w:rsid w:val="20DB643C"/>
    <w:rsid w:val="21377015"/>
    <w:rsid w:val="220D3C83"/>
    <w:rsid w:val="222C4E00"/>
    <w:rsid w:val="22476E17"/>
    <w:rsid w:val="235613AB"/>
    <w:rsid w:val="24B30C45"/>
    <w:rsid w:val="24C044DA"/>
    <w:rsid w:val="24DC6388"/>
    <w:rsid w:val="254E3827"/>
    <w:rsid w:val="25680E10"/>
    <w:rsid w:val="264F4304"/>
    <w:rsid w:val="27065E00"/>
    <w:rsid w:val="27976CF6"/>
    <w:rsid w:val="285B47F8"/>
    <w:rsid w:val="293A1B59"/>
    <w:rsid w:val="29431528"/>
    <w:rsid w:val="29D91491"/>
    <w:rsid w:val="2A603A9D"/>
    <w:rsid w:val="2A8F27AC"/>
    <w:rsid w:val="2A973F62"/>
    <w:rsid w:val="2AF55DA3"/>
    <w:rsid w:val="2B3D3BA8"/>
    <w:rsid w:val="2BC33FD8"/>
    <w:rsid w:val="2CB02768"/>
    <w:rsid w:val="2E2744D6"/>
    <w:rsid w:val="2FC72B60"/>
    <w:rsid w:val="30036C12"/>
    <w:rsid w:val="308167EF"/>
    <w:rsid w:val="30AF699D"/>
    <w:rsid w:val="30ED2C6C"/>
    <w:rsid w:val="319C48EE"/>
    <w:rsid w:val="32760A27"/>
    <w:rsid w:val="32EE5112"/>
    <w:rsid w:val="331E3330"/>
    <w:rsid w:val="33356193"/>
    <w:rsid w:val="341013F7"/>
    <w:rsid w:val="34A075E3"/>
    <w:rsid w:val="34C64400"/>
    <w:rsid w:val="3570679C"/>
    <w:rsid w:val="35CF6878"/>
    <w:rsid w:val="36CF347B"/>
    <w:rsid w:val="37196AD6"/>
    <w:rsid w:val="3792299D"/>
    <w:rsid w:val="385F1115"/>
    <w:rsid w:val="387D5EF8"/>
    <w:rsid w:val="393173E2"/>
    <w:rsid w:val="3AC577F8"/>
    <w:rsid w:val="3C203460"/>
    <w:rsid w:val="3C92049D"/>
    <w:rsid w:val="3D1C0953"/>
    <w:rsid w:val="3D3659E4"/>
    <w:rsid w:val="3D4B7117"/>
    <w:rsid w:val="3DE418E4"/>
    <w:rsid w:val="3DED1624"/>
    <w:rsid w:val="3E956943"/>
    <w:rsid w:val="3F0A7128"/>
    <w:rsid w:val="3F9625DF"/>
    <w:rsid w:val="3FB84B4F"/>
    <w:rsid w:val="4057269D"/>
    <w:rsid w:val="4105425B"/>
    <w:rsid w:val="41A17464"/>
    <w:rsid w:val="41CC3184"/>
    <w:rsid w:val="4218602D"/>
    <w:rsid w:val="42356F39"/>
    <w:rsid w:val="424A44CB"/>
    <w:rsid w:val="429C7BE4"/>
    <w:rsid w:val="42BF630F"/>
    <w:rsid w:val="42E26175"/>
    <w:rsid w:val="43057235"/>
    <w:rsid w:val="44144BE3"/>
    <w:rsid w:val="45652BBF"/>
    <w:rsid w:val="45857508"/>
    <w:rsid w:val="45E30A63"/>
    <w:rsid w:val="45F572E4"/>
    <w:rsid w:val="46162856"/>
    <w:rsid w:val="464A035C"/>
    <w:rsid w:val="46D070A9"/>
    <w:rsid w:val="47521AF5"/>
    <w:rsid w:val="48011AB6"/>
    <w:rsid w:val="483F5076"/>
    <w:rsid w:val="488105AA"/>
    <w:rsid w:val="49B95283"/>
    <w:rsid w:val="4A1946C3"/>
    <w:rsid w:val="4AD57E52"/>
    <w:rsid w:val="4D485993"/>
    <w:rsid w:val="4DDA5F5B"/>
    <w:rsid w:val="4F5630B7"/>
    <w:rsid w:val="4F610775"/>
    <w:rsid w:val="4FD45721"/>
    <w:rsid w:val="500A7791"/>
    <w:rsid w:val="510D4856"/>
    <w:rsid w:val="515F573B"/>
    <w:rsid w:val="51A55799"/>
    <w:rsid w:val="521F097E"/>
    <w:rsid w:val="52575E39"/>
    <w:rsid w:val="52DE7FEA"/>
    <w:rsid w:val="530079B5"/>
    <w:rsid w:val="53040620"/>
    <w:rsid w:val="53A05032"/>
    <w:rsid w:val="54AD2BD2"/>
    <w:rsid w:val="551556A5"/>
    <w:rsid w:val="556A329D"/>
    <w:rsid w:val="55916FC3"/>
    <w:rsid w:val="56326065"/>
    <w:rsid w:val="56FF2401"/>
    <w:rsid w:val="571F2B3A"/>
    <w:rsid w:val="57BB5BEC"/>
    <w:rsid w:val="59446862"/>
    <w:rsid w:val="59B91C47"/>
    <w:rsid w:val="59FA619C"/>
    <w:rsid w:val="5AAC7EE9"/>
    <w:rsid w:val="5B1E078A"/>
    <w:rsid w:val="5C8B69BC"/>
    <w:rsid w:val="5CCC06C9"/>
    <w:rsid w:val="5CF250B6"/>
    <w:rsid w:val="5D145A74"/>
    <w:rsid w:val="5D246470"/>
    <w:rsid w:val="5D4F52CC"/>
    <w:rsid w:val="5DAB167E"/>
    <w:rsid w:val="5DCA41FA"/>
    <w:rsid w:val="5E106D14"/>
    <w:rsid w:val="5E35065C"/>
    <w:rsid w:val="5E666CEB"/>
    <w:rsid w:val="5E7F1F35"/>
    <w:rsid w:val="5EDB510B"/>
    <w:rsid w:val="5EF2254D"/>
    <w:rsid w:val="5F3A772A"/>
    <w:rsid w:val="5F715B03"/>
    <w:rsid w:val="5FA310BD"/>
    <w:rsid w:val="5FC40E92"/>
    <w:rsid w:val="5FC565C3"/>
    <w:rsid w:val="60977F3A"/>
    <w:rsid w:val="60BB4476"/>
    <w:rsid w:val="60BD0CA7"/>
    <w:rsid w:val="61304593"/>
    <w:rsid w:val="62CC4CDE"/>
    <w:rsid w:val="62E53885"/>
    <w:rsid w:val="6529459B"/>
    <w:rsid w:val="657C227E"/>
    <w:rsid w:val="668B28D6"/>
    <w:rsid w:val="66A61668"/>
    <w:rsid w:val="67105872"/>
    <w:rsid w:val="67EA70B7"/>
    <w:rsid w:val="68191463"/>
    <w:rsid w:val="68882C04"/>
    <w:rsid w:val="694C7395"/>
    <w:rsid w:val="69C74AB6"/>
    <w:rsid w:val="6A3A4B7D"/>
    <w:rsid w:val="6B730F24"/>
    <w:rsid w:val="6CC91B21"/>
    <w:rsid w:val="6CCD00C2"/>
    <w:rsid w:val="6D92277D"/>
    <w:rsid w:val="6D976CA9"/>
    <w:rsid w:val="6DB41BED"/>
    <w:rsid w:val="6E8678AB"/>
    <w:rsid w:val="6F3F5890"/>
    <w:rsid w:val="6FCD57F0"/>
    <w:rsid w:val="707D50FC"/>
    <w:rsid w:val="70E60321"/>
    <w:rsid w:val="71042905"/>
    <w:rsid w:val="710B6BAC"/>
    <w:rsid w:val="712831B2"/>
    <w:rsid w:val="72416B1C"/>
    <w:rsid w:val="72CA1F5C"/>
    <w:rsid w:val="73885491"/>
    <w:rsid w:val="73D71D5F"/>
    <w:rsid w:val="73DE6C35"/>
    <w:rsid w:val="73F44D98"/>
    <w:rsid w:val="7472219E"/>
    <w:rsid w:val="7474214C"/>
    <w:rsid w:val="74D47BEE"/>
    <w:rsid w:val="74FF18E6"/>
    <w:rsid w:val="760B46BC"/>
    <w:rsid w:val="772C7BF2"/>
    <w:rsid w:val="773151D7"/>
    <w:rsid w:val="773C65C3"/>
    <w:rsid w:val="77966E0D"/>
    <w:rsid w:val="779852C0"/>
    <w:rsid w:val="790C737A"/>
    <w:rsid w:val="7910744A"/>
    <w:rsid w:val="791323F9"/>
    <w:rsid w:val="7A3A5A9A"/>
    <w:rsid w:val="7C265E8D"/>
    <w:rsid w:val="7C483576"/>
    <w:rsid w:val="7C83377F"/>
    <w:rsid w:val="7CB51A73"/>
    <w:rsid w:val="7D207D56"/>
    <w:rsid w:val="7D4E1821"/>
    <w:rsid w:val="7FC3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paragraph" w:styleId="3">
    <w:name w:val="heading 4"/>
    <w:basedOn w:val="4"/>
    <w:next w:val="1"/>
    <w:qFormat/>
    <w:uiPriority w:val="0"/>
    <w:pPr>
      <w:spacing w:line="240" w:lineRule="auto"/>
      <w:outlineLvl w:val="3"/>
    </w:pPr>
    <w:rPr>
      <w:rFonts w:ascii="仿宋" w:hAnsi="仿宋" w:cs="宋体"/>
      <w:b/>
      <w:bCs w:val="0"/>
      <w:sz w:val="28"/>
      <w:szCs w:val="28"/>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qFormat/>
    <w:uiPriority w:val="0"/>
    <w:pPr>
      <w:ind w:firstLine="420"/>
    </w:pPr>
  </w:style>
  <w:style w:type="paragraph" w:customStyle="1" w:styleId="4">
    <w:name w:val="00 正文"/>
    <w:basedOn w:val="1"/>
    <w:qFormat/>
    <w:uiPriority w:val="0"/>
    <w:rPr>
      <w:rFonts w:hAnsi="宋体"/>
      <w:bCs/>
      <w:kern w:val="2"/>
    </w:rPr>
  </w:style>
  <w:style w:type="paragraph" w:styleId="5">
    <w:name w:val="annotation text"/>
    <w:basedOn w:val="1"/>
    <w:qFormat/>
    <w:uiPriority w:val="0"/>
    <w:pPr>
      <w:textAlignment w:val="auto"/>
    </w:pPr>
    <w:rPr>
      <w:rFonts w:ascii="宋体" w:hAnsi="宋体"/>
    </w:rPr>
  </w:style>
  <w:style w:type="paragraph" w:styleId="6">
    <w:name w:val="Plain Text"/>
    <w:basedOn w:val="1"/>
    <w:qFormat/>
    <w:uiPriority w:val="0"/>
    <w:pPr>
      <w:adjustRightInd/>
      <w:spacing w:line="240" w:lineRule="auto"/>
      <w:jc w:val="both"/>
      <w:textAlignment w:val="auto"/>
    </w:pPr>
    <w:rPr>
      <w:rFonts w:ascii="宋体" w:hAnsi="Courier New"/>
      <w:kern w:val="2"/>
      <w:sz w:val="21"/>
    </w:rPr>
  </w:style>
  <w:style w:type="paragraph" w:styleId="7">
    <w:name w:val="footer"/>
    <w:basedOn w:val="1"/>
    <w:qFormat/>
    <w:uiPriority w:val="0"/>
    <w:pPr>
      <w:tabs>
        <w:tab w:val="center" w:pos="4153"/>
        <w:tab w:val="right" w:pos="8306"/>
      </w:tabs>
      <w:snapToGrid w:val="0"/>
      <w:spacing w:line="240" w:lineRule="atLeast"/>
    </w:pPr>
    <w:rPr>
      <w:sz w:val="18"/>
      <w:szCs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pPr>
    <w:rPr>
      <w:sz w:val="18"/>
    </w:rPr>
  </w:style>
  <w:style w:type="character" w:styleId="11">
    <w:name w:val="page number"/>
    <w:basedOn w:val="10"/>
    <w:qFormat/>
    <w:uiPriority w:val="0"/>
  </w:style>
  <w:style w:type="character" w:styleId="12">
    <w:name w:val="FollowedHyperlink"/>
    <w:basedOn w:val="10"/>
    <w:qFormat/>
    <w:uiPriority w:val="0"/>
    <w:rPr>
      <w:rFonts w:ascii="Arial" w:hAnsi="Arial" w:eastAsia="Arial" w:cs="Arial"/>
      <w:color w:val="800080"/>
      <w:sz w:val="21"/>
      <w:szCs w:val="21"/>
      <w:u w:val="none"/>
    </w:rPr>
  </w:style>
  <w:style w:type="character" w:styleId="13">
    <w:name w:val="Hyperlink"/>
    <w:basedOn w:val="10"/>
    <w:qFormat/>
    <w:uiPriority w:val="0"/>
    <w:rPr>
      <w:rFonts w:hint="default" w:ascii="Arial" w:hAnsi="Arial" w:eastAsia="Arial" w:cs="Arial"/>
      <w:color w:val="0000FF"/>
      <w:sz w:val="21"/>
      <w:szCs w:val="21"/>
      <w:u w:val="none"/>
    </w:rPr>
  </w:style>
  <w:style w:type="paragraph" w:customStyle="1" w:styleId="14">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5">
    <w:name w:val="一级条标题"/>
    <w:basedOn w:val="16"/>
    <w:next w:val="17"/>
    <w:qFormat/>
    <w:uiPriority w:val="0"/>
    <w:pPr>
      <w:numPr>
        <w:ilvl w:val="2"/>
      </w:numPr>
      <w:spacing w:beforeLines="0" w:afterLines="0"/>
      <w:outlineLvl w:val="2"/>
    </w:pPr>
  </w:style>
  <w:style w:type="paragraph" w:customStyle="1" w:styleId="16">
    <w:name w:val="章标题"/>
    <w:next w:val="17"/>
    <w:qFormat/>
    <w:uiPriority w:val="0"/>
    <w:pPr>
      <w:numPr>
        <w:ilvl w:val="1"/>
        <w:numId w:val="1"/>
      </w:numPr>
      <w:spacing w:beforeLines="50" w:afterLines="50"/>
      <w:jc w:val="both"/>
      <w:outlineLvl w:val="1"/>
    </w:pPr>
    <w:rPr>
      <w:rFonts w:ascii="黑体" w:hAnsi="Calibri" w:eastAsia="黑体" w:cs="Times New Roman"/>
      <w:sz w:val="21"/>
      <w:szCs w:val="22"/>
      <w:lang w:val="en-US" w:eastAsia="zh-CN" w:bidi="ar-SA"/>
    </w:rPr>
  </w:style>
  <w:style w:type="paragraph" w:customStyle="1" w:styleId="17">
    <w:name w:val="段"/>
    <w:qFormat/>
    <w:uiPriority w:val="0"/>
    <w:pPr>
      <w:ind w:firstLine="200" w:firstLineChars="200"/>
      <w:jc w:val="both"/>
    </w:pPr>
    <w:rPr>
      <w:rFonts w:ascii="宋体" w:hAnsi="Calibri" w:eastAsia="宋体" w:cs="Times New Roman"/>
      <w:sz w:val="21"/>
      <w:szCs w:val="22"/>
      <w:lang w:val="en-US" w:eastAsia="zh-CN" w:bidi="ar-SA"/>
    </w:rPr>
  </w:style>
  <w:style w:type="paragraph" w:customStyle="1" w:styleId="18">
    <w:name w:val="reader-word-layer reader-word-s2-6"/>
    <w:basedOn w:val="1"/>
    <w:qFormat/>
    <w:uiPriority w:val="0"/>
    <w:pPr>
      <w:widowControl/>
      <w:adjustRightInd/>
      <w:spacing w:before="100" w:beforeAutospacing="1" w:after="100" w:afterAutospacing="1" w:line="240" w:lineRule="auto"/>
      <w:textAlignment w:val="auto"/>
    </w:pPr>
    <w:rPr>
      <w:rFonts w:ascii="宋体" w:hAnsi="宋体" w:cs="宋体"/>
      <w:szCs w:val="24"/>
    </w:rPr>
  </w:style>
  <w:style w:type="paragraph" w:customStyle="1" w:styleId="19">
    <w:name w:val="reader-word-layer reader-word-s2-3"/>
    <w:basedOn w:val="1"/>
    <w:qFormat/>
    <w:uiPriority w:val="0"/>
    <w:pPr>
      <w:widowControl/>
      <w:adjustRightInd/>
      <w:spacing w:before="100" w:beforeAutospacing="1" w:after="100" w:afterAutospacing="1" w:line="240" w:lineRule="auto"/>
      <w:textAlignment w:val="auto"/>
    </w:pPr>
    <w:rPr>
      <w:rFonts w:ascii="宋体" w:hAnsi="宋体" w:cs="宋体"/>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5</Pages>
  <Words>2405</Words>
  <Characters>2685</Characters>
  <Lines>22</Lines>
  <Paragraphs>6</Paragraphs>
  <TotalTime>0</TotalTime>
  <ScaleCrop>false</ScaleCrop>
  <LinksUpToDate>false</LinksUpToDate>
  <CharactersWithSpaces>2999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2017-02-07T08:18:00Z</dcterms:created>
  <dc:creator>中板保障作业区</dc:creator>
  <cp:lastModifiedBy>林滨</cp:lastModifiedBy>
  <dcterms:modified xsi:type="dcterms:W3CDTF">2026-03-02T02:11:39Z</dcterms:modified>
  <dc:title>甘肃酒钢集团××××（单位）</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1E359465F7A4470491F67F3064426458_13</vt:lpwstr>
  </property>
  <property fmtid="{D5CDD505-2E9C-101B-9397-08002B2CF9AE}" pid="4" name="KSOTemplateDocerSaveRecord">
    <vt:lpwstr>eyJoZGlkIjoiMDcwOGUzMDdiZWZlMGQ0YWM3YjVmOWU2YjQyNjI0NTMiLCJ1c2VySWQiOiIxNjQ5NTAwMzQyIn0=</vt:lpwstr>
  </property>
</Properties>
</file>